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27CEA" w14:textId="145A98D8" w:rsidR="00803FAF" w:rsidRPr="001B4D04" w:rsidRDefault="00803FAF" w:rsidP="00866D3F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Tahoma" w:cs="Tahoma"/>
          <w:kern w:val="0"/>
          <w:sz w:val="44"/>
          <w:szCs w:val="44"/>
        </w:rPr>
      </w:pPr>
      <w:r w:rsidRPr="001B4D04">
        <w:rPr>
          <w:rFonts w:ascii="方正小标宋简体" w:eastAsia="方正小标宋简体" w:hAnsi="Tahoma" w:cs="Tahoma" w:hint="eastAsia"/>
          <w:kern w:val="0"/>
          <w:sz w:val="44"/>
          <w:szCs w:val="44"/>
        </w:rPr>
        <w:t>无锡市禽类交易管理办法</w:t>
      </w:r>
    </w:p>
    <w:p w14:paraId="11D143B5" w14:textId="77777777" w:rsidR="00BA30B7" w:rsidRPr="001B4D04" w:rsidRDefault="00BA30B7" w:rsidP="00BA30B7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kern w:val="0"/>
          <w:sz w:val="24"/>
          <w:szCs w:val="24"/>
        </w:rPr>
      </w:pPr>
      <w:r w:rsidRPr="001B4D04">
        <w:rPr>
          <w:rFonts w:ascii="楷体" w:eastAsia="楷体" w:hAnsi="楷体" w:cs="宋体" w:hint="eastAsia"/>
          <w:kern w:val="0"/>
          <w:sz w:val="32"/>
          <w:szCs w:val="32"/>
        </w:rPr>
        <w:t>（征求意见稿）</w:t>
      </w:r>
    </w:p>
    <w:p w14:paraId="68AEFE43" w14:textId="77777777" w:rsidR="00717EA0" w:rsidRPr="001B4D04" w:rsidRDefault="00717EA0" w:rsidP="00487708">
      <w:pPr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 w:cs="Tahoma"/>
          <w:kern w:val="0"/>
          <w:sz w:val="32"/>
          <w:szCs w:val="32"/>
        </w:rPr>
      </w:pPr>
    </w:p>
    <w:p w14:paraId="4194856E" w14:textId="65A97EE7" w:rsidR="00BA0729" w:rsidRPr="001B4D04" w:rsidRDefault="00BA0729" w:rsidP="00487708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第一条</w:t>
      </w:r>
      <w:r w:rsidR="0039105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为</w:t>
      </w:r>
      <w:r w:rsidR="003211C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规范禽类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交易行为，预防和控制</w:t>
      </w:r>
      <w:r w:rsidR="00614C48" w:rsidRPr="001B4D04">
        <w:rPr>
          <w:rFonts w:ascii="仿宋_GB2312" w:eastAsia="仿宋_GB2312" w:hAnsi="Tahoma" w:cs="Tahoma"/>
          <w:kern w:val="0"/>
          <w:sz w:val="32"/>
          <w:szCs w:val="32"/>
        </w:rPr>
        <w:t>传染病的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发生和传播，保</w:t>
      </w:r>
      <w:r w:rsidR="00E03C8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护公众健康，保障公共卫生安全，根据</w:t>
      </w:r>
      <w:r w:rsidR="00614C4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《中华人民共和国传染病防治法》</w:t>
      </w:r>
      <w:r w:rsidR="00E03C8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《中华人民共和国动物防疫法》</w:t>
      </w:r>
      <w:r w:rsidR="0091795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</w:t>
      </w:r>
      <w:r w:rsidR="0079520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中华人民共和国</w:t>
      </w:r>
      <w:r w:rsidR="0091795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野生动物保护法》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《中华人民共和国食品安全法》</w:t>
      </w:r>
      <w:r w:rsidR="00CF53F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《食用农产品市场销售质量安全监督管理办法》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</w:t>
      </w:r>
      <w:r w:rsidR="00691396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江苏省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动物防疫条例》</w:t>
      </w:r>
      <w:r w:rsidR="00ED670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等法律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法规，结合</w:t>
      </w:r>
      <w:r w:rsidR="00ED670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我市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实际，制定本办法。</w:t>
      </w:r>
    </w:p>
    <w:p w14:paraId="594DDA7E" w14:textId="1AC05745" w:rsidR="00BA30B7" w:rsidRPr="001B4D04" w:rsidRDefault="00BA30B7" w:rsidP="00440392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【适用范围和管理责任】</w:t>
      </w:r>
    </w:p>
    <w:p w14:paraId="79CF99E9" w14:textId="2842C671" w:rsidR="00CA1A3D" w:rsidRPr="001B4D04" w:rsidRDefault="00BA0729" w:rsidP="0048770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第二条</w:t>
      </w:r>
      <w:r w:rsidR="0039105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="00E06A2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本市</w:t>
      </w:r>
      <w:r w:rsidR="00B734A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市区范围</w:t>
      </w:r>
      <w:r w:rsidR="00E06A2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内</w:t>
      </w:r>
      <w:r w:rsidR="002F349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禽类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交易管理适用本办法。</w:t>
      </w:r>
    </w:p>
    <w:p w14:paraId="696148F0" w14:textId="2AD43884" w:rsidR="00BF4D44" w:rsidRPr="001B4D04" w:rsidRDefault="00BF4D44" w:rsidP="0048770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本办法所称本市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市区包括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梁溪区、锡山区、惠山区、滨湖区、新吴区及无锡经济开发区。</w:t>
      </w:r>
    </w:p>
    <w:p w14:paraId="2C506E64" w14:textId="4D19C397" w:rsidR="00CA1A3D" w:rsidRPr="001B4D04" w:rsidRDefault="00BA0729" w:rsidP="0048770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本办法所称</w:t>
      </w:r>
      <w:r w:rsidR="008213F5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禽类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，包括</w:t>
      </w:r>
      <w:r w:rsidR="0004622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人工饲养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、可供食用</w:t>
      </w:r>
      <w:r w:rsidR="0004622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的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鸡、鸭、</w:t>
      </w:r>
      <w:r w:rsidR="00B6241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鹅、肉鸽、鹌鹑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等列入</w:t>
      </w:r>
      <w:r w:rsidR="00CF53F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《国家畜禽遗传资源目录》</w:t>
      </w:r>
      <w:r w:rsidR="00B6241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的禽类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24A7B7CA" w14:textId="77777777" w:rsidR="008213F5" w:rsidRPr="001B4D04" w:rsidRDefault="008213F5" w:rsidP="0048770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本办法所称活禽，指前款所列的活体禽类。</w:t>
      </w:r>
    </w:p>
    <w:p w14:paraId="51428278" w14:textId="70714388" w:rsidR="00CA1A3D" w:rsidRPr="001B4D04" w:rsidRDefault="00CA1A3D" w:rsidP="00487708">
      <w:pPr>
        <w:spacing w:line="54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本办法所称活禽交易包括活禽销售、</w:t>
      </w:r>
      <w:r w:rsidR="00923138" w:rsidRPr="001B4D04">
        <w:rPr>
          <w:rFonts w:ascii="仿宋_GB2312" w:eastAsia="仿宋_GB2312" w:hint="eastAsia"/>
          <w:sz w:val="32"/>
          <w:szCs w:val="32"/>
        </w:rPr>
        <w:t>售后宰杀</w:t>
      </w:r>
      <w:r w:rsidRPr="001B4D04">
        <w:rPr>
          <w:rFonts w:ascii="仿宋_GB2312" w:eastAsia="仿宋_GB2312" w:hint="eastAsia"/>
          <w:sz w:val="32"/>
          <w:szCs w:val="32"/>
        </w:rPr>
        <w:t>等行为。</w:t>
      </w:r>
    </w:p>
    <w:p w14:paraId="6F519949" w14:textId="29B71CE0" w:rsidR="00B734A8" w:rsidRPr="001B4D04" w:rsidRDefault="00CA1A3D" w:rsidP="007A68C0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本办法所称活禽交易</w:t>
      </w:r>
      <w:r w:rsidR="00E06A20" w:rsidRPr="001B4D04">
        <w:rPr>
          <w:rFonts w:ascii="仿宋_GB2312" w:eastAsia="仿宋_GB2312" w:hint="eastAsia"/>
          <w:sz w:val="32"/>
          <w:szCs w:val="32"/>
        </w:rPr>
        <w:t>场所</w:t>
      </w:r>
      <w:r w:rsidRPr="001B4D04">
        <w:rPr>
          <w:rFonts w:ascii="仿宋_GB2312" w:eastAsia="仿宋_GB2312" w:hint="eastAsia"/>
          <w:sz w:val="32"/>
          <w:szCs w:val="32"/>
        </w:rPr>
        <w:t>包括活禽批发市场</w:t>
      </w:r>
      <w:r w:rsidR="006771F6" w:rsidRPr="001B4D04">
        <w:rPr>
          <w:rFonts w:ascii="仿宋_GB2312" w:eastAsia="仿宋_GB2312" w:hint="eastAsia"/>
          <w:sz w:val="32"/>
          <w:szCs w:val="32"/>
        </w:rPr>
        <w:t>、</w:t>
      </w:r>
      <w:r w:rsidR="00E06A20" w:rsidRPr="001B4D04">
        <w:rPr>
          <w:rFonts w:ascii="仿宋_GB2312" w:eastAsia="仿宋_GB2312" w:hint="eastAsia"/>
          <w:sz w:val="32"/>
          <w:szCs w:val="32"/>
        </w:rPr>
        <w:t>农贸市场活禽交易区、活禽零售</w:t>
      </w:r>
      <w:r w:rsidR="00CC6975" w:rsidRPr="001B4D04">
        <w:rPr>
          <w:rFonts w:ascii="仿宋_GB2312" w:eastAsia="仿宋_GB2312" w:hint="eastAsia"/>
          <w:sz w:val="32"/>
          <w:szCs w:val="32"/>
        </w:rPr>
        <w:t>店铺</w:t>
      </w:r>
      <w:r w:rsidR="00917959" w:rsidRPr="001B4D04">
        <w:rPr>
          <w:rFonts w:ascii="仿宋_GB2312" w:eastAsia="仿宋_GB2312" w:hint="eastAsia"/>
          <w:sz w:val="32"/>
          <w:szCs w:val="32"/>
        </w:rPr>
        <w:t>、超市、商场</w:t>
      </w:r>
      <w:r w:rsidR="00923138" w:rsidRPr="001B4D04">
        <w:rPr>
          <w:rFonts w:ascii="仿宋_GB2312" w:eastAsia="仿宋_GB2312" w:hint="eastAsia"/>
          <w:sz w:val="32"/>
          <w:szCs w:val="32"/>
        </w:rPr>
        <w:t>、餐饮</w:t>
      </w:r>
      <w:r w:rsidR="00E06A20" w:rsidRPr="001B4D04">
        <w:rPr>
          <w:rFonts w:ascii="仿宋_GB2312" w:eastAsia="仿宋_GB2312" w:hint="eastAsia"/>
          <w:sz w:val="32"/>
          <w:szCs w:val="32"/>
        </w:rPr>
        <w:t>等场所</w:t>
      </w:r>
      <w:r w:rsidRPr="001B4D04">
        <w:rPr>
          <w:rFonts w:ascii="仿宋_GB2312" w:eastAsia="仿宋_GB2312" w:hint="eastAsia"/>
          <w:sz w:val="32"/>
          <w:szCs w:val="32"/>
        </w:rPr>
        <w:t>。</w:t>
      </w:r>
    </w:p>
    <w:p w14:paraId="121759BF" w14:textId="4BEFEE5F" w:rsidR="00EE599B" w:rsidRPr="001B4D04" w:rsidRDefault="00BA0729" w:rsidP="0024078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第三条</w:t>
      </w:r>
      <w:r w:rsidR="00BD144C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本市</w:t>
      </w:r>
      <w:r w:rsidR="00BD144C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市区</w:t>
      </w:r>
      <w:r w:rsidR="004E24A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范围内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禁止活禽交易，</w:t>
      </w:r>
      <w:r w:rsidR="00CA1A3D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实行活禽</w:t>
      </w:r>
      <w:r w:rsidR="00BF4D44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严格检疫、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="00A27A46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</w:t>
      </w:r>
      <w:r w:rsidR="00CA1A3D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、冷链配送、冷鲜上市。</w:t>
      </w:r>
    </w:p>
    <w:p w14:paraId="549B7B8F" w14:textId="4D7E082B" w:rsidR="00B236BE" w:rsidRPr="001B4D04" w:rsidRDefault="0076187B" w:rsidP="002D55D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第</w:t>
      </w:r>
      <w:r w:rsidR="00F43A88" w:rsidRPr="001B4D04">
        <w:rPr>
          <w:rFonts w:ascii="仿宋_GB2312" w:eastAsia="仿宋_GB2312" w:hint="eastAsia"/>
          <w:sz w:val="32"/>
          <w:szCs w:val="32"/>
        </w:rPr>
        <w:t>四</w:t>
      </w:r>
      <w:r w:rsidRPr="001B4D04">
        <w:rPr>
          <w:rFonts w:ascii="仿宋_GB2312" w:eastAsia="仿宋_GB2312" w:hint="eastAsia"/>
          <w:sz w:val="32"/>
          <w:szCs w:val="32"/>
        </w:rPr>
        <w:t xml:space="preserve">条 </w:t>
      </w:r>
      <w:r w:rsidR="00E06A20" w:rsidRPr="001B4D04">
        <w:rPr>
          <w:rFonts w:ascii="仿宋_GB2312" w:eastAsia="仿宋_GB2312" w:hint="eastAsia"/>
          <w:sz w:val="32"/>
          <w:szCs w:val="32"/>
        </w:rPr>
        <w:t>市</w:t>
      </w:r>
      <w:r w:rsidRPr="001B4D04">
        <w:rPr>
          <w:rFonts w:ascii="仿宋_GB2312" w:eastAsia="仿宋_GB2312" w:hint="eastAsia"/>
          <w:sz w:val="32"/>
          <w:szCs w:val="32"/>
        </w:rPr>
        <w:t>人民政府</w:t>
      </w:r>
      <w:r w:rsidR="002D55D6" w:rsidRPr="001B4D04">
        <w:rPr>
          <w:rFonts w:ascii="仿宋_GB2312" w:eastAsia="仿宋_GB2312" w:hint="eastAsia"/>
          <w:sz w:val="32"/>
          <w:szCs w:val="32"/>
        </w:rPr>
        <w:t>统一领导本市行政区域内的禽类交易管理工作。</w:t>
      </w:r>
    </w:p>
    <w:p w14:paraId="44A28AB6" w14:textId="24ED3B3F" w:rsidR="001C5E0C" w:rsidRPr="001B4D04" w:rsidRDefault="001C5E0C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lastRenderedPageBreak/>
        <w:t>商务部门负责推进本市禽类产品冷鲜供应体系建设</w:t>
      </w:r>
      <w:r w:rsidRPr="001B4D04">
        <w:rPr>
          <w:rFonts w:ascii="仿宋_GB2312" w:eastAsia="仿宋_GB2312"/>
          <w:sz w:val="32"/>
          <w:szCs w:val="32"/>
        </w:rPr>
        <w:t>，加强市场监测，</w:t>
      </w:r>
      <w:r w:rsidRPr="001B4D04">
        <w:rPr>
          <w:rFonts w:ascii="仿宋_GB2312" w:eastAsia="仿宋_GB2312" w:hint="eastAsia"/>
          <w:sz w:val="32"/>
          <w:szCs w:val="32"/>
        </w:rPr>
        <w:t>做好</w:t>
      </w:r>
      <w:r w:rsidR="00CC6975" w:rsidRPr="001B4D04">
        <w:rPr>
          <w:rFonts w:ascii="仿宋_GB2312" w:eastAsia="仿宋_GB2312" w:hint="eastAsia"/>
          <w:sz w:val="32"/>
          <w:szCs w:val="32"/>
        </w:rPr>
        <w:t>保供</w:t>
      </w:r>
      <w:r w:rsidRPr="001B4D04">
        <w:rPr>
          <w:rFonts w:ascii="仿宋_GB2312" w:eastAsia="仿宋_GB2312" w:hint="eastAsia"/>
          <w:sz w:val="32"/>
          <w:szCs w:val="32"/>
        </w:rPr>
        <w:t>预案</w:t>
      </w:r>
      <w:r w:rsidRPr="001B4D04">
        <w:rPr>
          <w:rFonts w:ascii="仿宋_GB2312" w:eastAsia="仿宋_GB2312"/>
          <w:sz w:val="32"/>
          <w:szCs w:val="32"/>
        </w:rPr>
        <w:t>，</w:t>
      </w:r>
      <w:r w:rsidR="008B51C9" w:rsidRPr="001B4D04">
        <w:rPr>
          <w:rFonts w:ascii="仿宋_GB2312" w:eastAsia="仿宋_GB2312" w:hint="eastAsia"/>
          <w:sz w:val="32"/>
          <w:szCs w:val="32"/>
        </w:rPr>
        <w:t>保障</w:t>
      </w:r>
      <w:r w:rsidR="00046222" w:rsidRPr="001B4D04">
        <w:rPr>
          <w:rFonts w:ascii="仿宋_GB2312" w:eastAsia="仿宋_GB2312" w:hint="eastAsia"/>
          <w:sz w:val="32"/>
          <w:szCs w:val="32"/>
        </w:rPr>
        <w:t>本</w:t>
      </w:r>
      <w:r w:rsidRPr="001B4D04">
        <w:rPr>
          <w:rFonts w:ascii="仿宋_GB2312" w:eastAsia="仿宋_GB2312"/>
          <w:sz w:val="32"/>
          <w:szCs w:val="32"/>
        </w:rPr>
        <w:t>市冷鲜禽类</w:t>
      </w:r>
      <w:r w:rsidRPr="001B4D04">
        <w:rPr>
          <w:rFonts w:ascii="仿宋_GB2312" w:eastAsia="仿宋_GB2312" w:hint="eastAsia"/>
          <w:sz w:val="32"/>
          <w:szCs w:val="32"/>
        </w:rPr>
        <w:t>供应充足；</w:t>
      </w:r>
    </w:p>
    <w:p w14:paraId="2AB0306D" w14:textId="037D3196" w:rsidR="001C5E0C" w:rsidRPr="001B4D04" w:rsidRDefault="001C5E0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市场监管部门负责</w:t>
      </w:r>
      <w:r w:rsidR="005448F3" w:rsidRPr="001B4D04">
        <w:rPr>
          <w:rFonts w:ascii="仿宋_GB2312" w:eastAsia="仿宋_GB2312" w:hint="eastAsia"/>
          <w:sz w:val="32"/>
          <w:szCs w:val="32"/>
        </w:rPr>
        <w:t>固定场所内</w:t>
      </w:r>
      <w:r w:rsidR="008213F5" w:rsidRPr="001B4D04">
        <w:rPr>
          <w:rFonts w:ascii="仿宋_GB2312" w:eastAsia="仿宋_GB2312" w:hint="eastAsia"/>
          <w:sz w:val="32"/>
          <w:szCs w:val="32"/>
        </w:rPr>
        <w:t>禽类</w:t>
      </w:r>
      <w:r w:rsidRPr="001B4D04">
        <w:rPr>
          <w:rFonts w:ascii="仿宋_GB2312" w:eastAsia="仿宋_GB2312" w:hint="eastAsia"/>
          <w:sz w:val="32"/>
          <w:szCs w:val="32"/>
        </w:rPr>
        <w:t>交易行为的监督管理；</w:t>
      </w:r>
    </w:p>
    <w:p w14:paraId="443E83F0" w14:textId="19ECAC8D" w:rsidR="00CA6746" w:rsidRPr="001B4D04" w:rsidRDefault="001C5E0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农业</w:t>
      </w:r>
      <w:r w:rsidR="0079091F" w:rsidRPr="001B4D04">
        <w:rPr>
          <w:rFonts w:ascii="仿宋_GB2312" w:eastAsia="仿宋_GB2312" w:hint="eastAsia"/>
          <w:sz w:val="32"/>
          <w:szCs w:val="32"/>
        </w:rPr>
        <w:t>农村</w:t>
      </w:r>
      <w:r w:rsidRPr="001B4D04">
        <w:rPr>
          <w:rFonts w:ascii="仿宋_GB2312" w:eastAsia="仿宋_GB2312" w:hint="eastAsia"/>
          <w:sz w:val="32"/>
          <w:szCs w:val="32"/>
        </w:rPr>
        <w:t>部门</w:t>
      </w:r>
      <w:r w:rsidR="00584042" w:rsidRPr="001B4D04">
        <w:rPr>
          <w:rFonts w:ascii="仿宋_GB2312" w:eastAsia="仿宋_GB2312" w:hint="eastAsia"/>
          <w:sz w:val="32"/>
          <w:szCs w:val="32"/>
        </w:rPr>
        <w:t>负责活禽规模集中屠宰行业规划、设置及</w:t>
      </w:r>
      <w:r w:rsidR="00046222" w:rsidRPr="001B4D04">
        <w:rPr>
          <w:rFonts w:ascii="仿宋_GB2312" w:eastAsia="仿宋_GB2312" w:hint="eastAsia"/>
          <w:sz w:val="32"/>
          <w:szCs w:val="32"/>
        </w:rPr>
        <w:t>监督</w:t>
      </w:r>
      <w:r w:rsidR="00584042" w:rsidRPr="001B4D04">
        <w:rPr>
          <w:rFonts w:ascii="仿宋_GB2312" w:eastAsia="仿宋_GB2312" w:hint="eastAsia"/>
          <w:sz w:val="32"/>
          <w:szCs w:val="32"/>
        </w:rPr>
        <w:t>管理工作，</w:t>
      </w:r>
      <w:r w:rsidR="00CA6746" w:rsidRPr="001B4D04">
        <w:rPr>
          <w:rFonts w:ascii="仿宋_GB2312" w:eastAsia="仿宋_GB2312" w:hint="eastAsia"/>
          <w:sz w:val="32"/>
          <w:szCs w:val="32"/>
        </w:rPr>
        <w:t>对</w:t>
      </w:r>
      <w:r w:rsidR="00584042" w:rsidRPr="001B4D04">
        <w:rPr>
          <w:rFonts w:ascii="仿宋_GB2312" w:eastAsia="仿宋_GB2312" w:hint="eastAsia"/>
          <w:sz w:val="32"/>
          <w:szCs w:val="32"/>
        </w:rPr>
        <w:t>集中</w:t>
      </w:r>
      <w:r w:rsidR="00CA6746" w:rsidRPr="001B4D04">
        <w:rPr>
          <w:rFonts w:ascii="仿宋_GB2312" w:eastAsia="仿宋_GB2312" w:hint="eastAsia"/>
          <w:sz w:val="32"/>
          <w:szCs w:val="32"/>
        </w:rPr>
        <w:t>屠宰场开展相关动物疫病的监测和控制工作</w:t>
      </w:r>
      <w:r w:rsidR="00ED6702" w:rsidRPr="001B4D04">
        <w:rPr>
          <w:rFonts w:ascii="仿宋_GB2312" w:eastAsia="仿宋_GB2312" w:hint="eastAsia"/>
          <w:sz w:val="32"/>
          <w:szCs w:val="32"/>
        </w:rPr>
        <w:t>；</w:t>
      </w:r>
    </w:p>
    <w:p w14:paraId="34539DF0" w14:textId="2BD1218C" w:rsidR="009D11CD" w:rsidRPr="001B4D04" w:rsidRDefault="009D11CD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卫生健康部门负责禽流感等疾病的预防、监测和控制，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与农业农村部门就动物疾病的监测工作信息共通，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指导集中屠宰场</w:t>
      </w:r>
      <w:r w:rsidR="000D261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、交易市场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开展清洗消毒、做好从业人员健康防护</w:t>
      </w:r>
      <w:r w:rsidR="0004622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</w:p>
    <w:p w14:paraId="36231BBC" w14:textId="15A10D91" w:rsidR="00911E0B" w:rsidRPr="001B4D04" w:rsidRDefault="00923138" w:rsidP="006E678E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城市管理部门</w:t>
      </w:r>
      <w:r w:rsidR="00AF346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负责</w:t>
      </w:r>
      <w:r w:rsidR="005448F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无固定场所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经营</w:t>
      </w:r>
      <w:r w:rsidR="00AF346F" w:rsidRPr="001B4D04">
        <w:rPr>
          <w:rFonts w:ascii="仿宋_GB2312" w:eastAsia="仿宋_GB2312" w:hAnsi="仿宋_GB2312" w:cs="仿宋_GB2312" w:hint="eastAsia"/>
          <w:sz w:val="32"/>
          <w:szCs w:val="32"/>
        </w:rPr>
        <w:t>禽类交易行为</w:t>
      </w:r>
      <w:r w:rsidR="00AF346F" w:rsidRPr="001B4D04">
        <w:rPr>
          <w:rFonts w:ascii="仿宋_GB2312" w:eastAsia="仿宋_GB2312" w:hAnsi="仿宋_GB2312" w:cs="仿宋_GB2312" w:hint="eastAsia"/>
          <w:kern w:val="0"/>
          <w:sz w:val="32"/>
          <w:szCs w:val="32"/>
        </w:rPr>
        <w:t>的监督管理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  <w:bookmarkStart w:id="0" w:name="_GoBack"/>
      <w:bookmarkEnd w:id="0"/>
    </w:p>
    <w:p w14:paraId="49E27858" w14:textId="1B4EBE92" w:rsidR="004E620D" w:rsidRPr="001B4D04" w:rsidRDefault="004E620D" w:rsidP="004E620D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公安、交通运输部门负责</w:t>
      </w:r>
      <w:r w:rsidR="00FD251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对</w:t>
      </w:r>
      <w:r w:rsidR="007B675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进入</w:t>
      </w:r>
      <w:r w:rsidR="007B6757" w:rsidRPr="001B4D04">
        <w:rPr>
          <w:rFonts w:ascii="仿宋_GB2312" w:eastAsia="仿宋_GB2312" w:hAnsi="Tahoma" w:cs="Tahoma"/>
          <w:kern w:val="0"/>
          <w:sz w:val="32"/>
          <w:szCs w:val="32"/>
        </w:rPr>
        <w:t>我市</w:t>
      </w:r>
      <w:r w:rsidR="00FD251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活禽</w:t>
      </w:r>
      <w:r w:rsidR="007B675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运输</w:t>
      </w:r>
      <w:r w:rsidR="007B6757" w:rsidRPr="001B4D04">
        <w:rPr>
          <w:rFonts w:ascii="仿宋_GB2312" w:eastAsia="仿宋_GB2312" w:hAnsi="Tahoma" w:cs="Tahoma"/>
          <w:kern w:val="0"/>
          <w:sz w:val="32"/>
          <w:szCs w:val="32"/>
        </w:rPr>
        <w:t>车辆</w:t>
      </w:r>
      <w:r w:rsidR="007B675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进行监督管理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</w:p>
    <w:p w14:paraId="06DEDE60" w14:textId="03ADE012" w:rsidR="001C5E0C" w:rsidRPr="001B4D04" w:rsidRDefault="004E620D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发展和改革、自然资源和规划、</w:t>
      </w:r>
      <w:r w:rsidR="001C5E0C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生态环境等部门应当按照各自职责，协同做好</w:t>
      </w:r>
      <w:r w:rsidR="008213F5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禽类</w:t>
      </w:r>
      <w:r w:rsidR="001C5E0C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交易管理工作。</w:t>
      </w:r>
    </w:p>
    <w:p w14:paraId="593FB9B8" w14:textId="61DABF42" w:rsidR="002D55D6" w:rsidRPr="001B4D04" w:rsidRDefault="00EE599B" w:rsidP="00EE599B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第五条 </w:t>
      </w:r>
      <w:r w:rsidR="002D55D6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区人民政府统筹协调辖区内禽类交易管理工作，组织相关部门对禽类交易违法行为实施联合执法。</w:t>
      </w:r>
    </w:p>
    <w:p w14:paraId="7BDA727E" w14:textId="5F1471AB" w:rsidR="00EE599B" w:rsidRPr="001B4D04" w:rsidRDefault="00EE599B" w:rsidP="00A50713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街道（镇）组织开展对禽类交易活动日常巡查，配合相关部门开展禽类交易管理行政执法。</w:t>
      </w:r>
    </w:p>
    <w:p w14:paraId="59EC217F" w14:textId="551CFDD4" w:rsidR="00E06A20" w:rsidRPr="001B4D04" w:rsidRDefault="00627F80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A5071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六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各级政府及其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职能部门</w:t>
      </w:r>
      <w:r w:rsidR="00E06A2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、社会组织和新闻媒体应当加强</w:t>
      </w:r>
      <w:r w:rsidR="000D261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活禽</w:t>
      </w:r>
      <w:r w:rsidR="00E06A2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以及禽类产品安全消费知识宣传，引导公众转变活禽消费</w:t>
      </w:r>
      <w:r w:rsidR="007622F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观念，形成科学健康的禽类消费习惯。</w:t>
      </w:r>
    </w:p>
    <w:p w14:paraId="11E85508" w14:textId="0FC0CCFE" w:rsidR="00BA30B7" w:rsidRPr="001B4D04" w:rsidRDefault="00BA30B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【禽类交易管理要求】</w:t>
      </w:r>
    </w:p>
    <w:p w14:paraId="4EB19E7B" w14:textId="02E5B7A8" w:rsidR="00F43A88" w:rsidRPr="001B4D04" w:rsidRDefault="00F43A88" w:rsidP="00F43A8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A5071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七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本市市区范围内禁止新设立活禽交易场所</w:t>
      </w:r>
      <w:r w:rsidR="00BA528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已设立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lastRenderedPageBreak/>
        <w:t>的活禽交易场所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一律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关闭或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关闭活禽交易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区域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。</w:t>
      </w:r>
    </w:p>
    <w:p w14:paraId="0D66F803" w14:textId="06CF9CB4" w:rsidR="00512607" w:rsidRPr="001B4D04" w:rsidRDefault="00F43A88" w:rsidP="0024078D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已合法设立的活禽交易场所关闭后，</w:t>
      </w:r>
      <w:r w:rsidRPr="001B4D04">
        <w:rPr>
          <w:rFonts w:ascii="仿宋_GB2312" w:eastAsia="仿宋_GB2312" w:hint="eastAsia"/>
          <w:sz w:val="32"/>
          <w:szCs w:val="32"/>
        </w:rPr>
        <w:t>市、</w:t>
      </w:r>
      <w:r w:rsidRPr="001B4D04">
        <w:rPr>
          <w:rFonts w:ascii="仿宋_GB2312" w:eastAsia="仿宋_GB2312"/>
          <w:sz w:val="32"/>
          <w:szCs w:val="32"/>
        </w:rPr>
        <w:t>区</w:t>
      </w:r>
      <w:r w:rsidRPr="001B4D04">
        <w:rPr>
          <w:rFonts w:ascii="仿宋_GB2312" w:eastAsia="仿宋_GB2312" w:hint="eastAsia"/>
          <w:sz w:val="32"/>
          <w:szCs w:val="32"/>
        </w:rPr>
        <w:t>人民政府（管委会）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可以根据实际损失情况给予相应补偿。</w:t>
      </w:r>
    </w:p>
    <w:p w14:paraId="342967BC" w14:textId="695A25B3" w:rsidR="00BA30B7" w:rsidRPr="001B4D04" w:rsidRDefault="00BA30B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【集中屠宰管理】</w:t>
      </w:r>
    </w:p>
    <w:p w14:paraId="55755259" w14:textId="60BFDDA3" w:rsidR="000D2610" w:rsidRPr="001B4D04" w:rsidRDefault="000D2610" w:rsidP="000D2610">
      <w:pPr>
        <w:spacing w:line="540" w:lineRule="exact"/>
        <w:ind w:firstLineChars="200" w:firstLine="640"/>
        <w:rPr>
          <w:rFonts w:ascii="仿宋_GB2312" w:eastAsia="仿宋_GB2312" w:hAnsi="Tahoma" w:cs="Tahoma"/>
          <w:b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8714B1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八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本市市区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范围内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的食用禽类产品供应，实施集中屠宰管理。食用禽类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屠宰场设置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由市人民政府确定并纳入城市总体规划和控制性详细规划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538D6685" w14:textId="00B1D219" w:rsidR="001C5E0C" w:rsidRPr="001B4D04" w:rsidRDefault="00BA0729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根据规划设置的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屠宰场应当具备《中华人民共和国动物防疫法》规定的动物防疫条件。</w:t>
      </w:r>
      <w:r w:rsidR="00662BE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食用禽类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="001C5E0C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屠宰场</w:t>
      </w:r>
      <w:r w:rsidR="001C5E0C" w:rsidRPr="001B4D04">
        <w:rPr>
          <w:rFonts w:ascii="仿宋_GB2312" w:eastAsia="仿宋_GB2312" w:hint="eastAsia"/>
          <w:sz w:val="32"/>
          <w:szCs w:val="32"/>
        </w:rPr>
        <w:t>应当符合以下设置要求：</w:t>
      </w:r>
    </w:p>
    <w:p w14:paraId="72A2DB19" w14:textId="31B32EA2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（一）选址、布局符合动物防疫条件，</w:t>
      </w:r>
      <w:r w:rsidR="00CF53F2" w:rsidRPr="001B4D04">
        <w:rPr>
          <w:rFonts w:ascii="仿宋_GB2312" w:eastAsia="仿宋_GB2312" w:hint="eastAsia"/>
          <w:sz w:val="32"/>
          <w:szCs w:val="32"/>
        </w:rPr>
        <w:t>依法取得动物防疫条件合格证，</w:t>
      </w:r>
      <w:r w:rsidRPr="001B4D04">
        <w:rPr>
          <w:rFonts w:ascii="仿宋_GB2312" w:eastAsia="仿宋_GB2312" w:hint="eastAsia"/>
          <w:sz w:val="32"/>
          <w:szCs w:val="32"/>
        </w:rPr>
        <w:t>生产区与生活区分开，水质符合国家规定标准的水源条件，周围环境无有害污染源；</w:t>
      </w:r>
    </w:p>
    <w:p w14:paraId="6CBC45AA" w14:textId="77777777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（二）远离生活饮用水的地表水源保护区，并不得妨碍或者影响所在地居民生活和公共场所的活动；</w:t>
      </w:r>
    </w:p>
    <w:p w14:paraId="0DC98711" w14:textId="77777777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（三）设有符合规定的禽类待宰间、隔离间、屠宰加工间、清洗间和分割间，病害禽类</w:t>
      </w:r>
      <w:r w:rsidR="00F30D35" w:rsidRPr="001B4D04">
        <w:rPr>
          <w:rFonts w:ascii="仿宋_GB2312" w:eastAsia="仿宋_GB2312" w:hint="eastAsia"/>
          <w:sz w:val="32"/>
          <w:szCs w:val="32"/>
        </w:rPr>
        <w:t>及</w:t>
      </w:r>
      <w:r w:rsidR="00F30D35" w:rsidRPr="001B4D04">
        <w:rPr>
          <w:rFonts w:ascii="仿宋_GB2312" w:eastAsia="仿宋_GB2312"/>
          <w:sz w:val="32"/>
          <w:szCs w:val="32"/>
        </w:rPr>
        <w:t>禽类产品</w:t>
      </w:r>
      <w:r w:rsidRPr="001B4D04">
        <w:rPr>
          <w:rFonts w:ascii="仿宋_GB2312" w:eastAsia="仿宋_GB2312" w:hint="eastAsia"/>
          <w:sz w:val="32"/>
          <w:szCs w:val="32"/>
        </w:rPr>
        <w:t>无害化处理设施，污水污物处理设施以及禽类屠宰设备和运载工具；</w:t>
      </w:r>
    </w:p>
    <w:p w14:paraId="074F57D8" w14:textId="1181991B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（四）设有</w:t>
      </w:r>
      <w:r w:rsidR="00DE26BE" w:rsidRPr="001B4D04">
        <w:rPr>
          <w:rFonts w:ascii="仿宋_GB2312" w:eastAsia="仿宋_GB2312" w:hint="eastAsia"/>
          <w:sz w:val="32"/>
          <w:szCs w:val="32"/>
        </w:rPr>
        <w:t>检验</w:t>
      </w:r>
      <w:r w:rsidRPr="001B4D04">
        <w:rPr>
          <w:rFonts w:ascii="仿宋_GB2312" w:eastAsia="仿宋_GB2312" w:hint="eastAsia"/>
          <w:sz w:val="32"/>
          <w:szCs w:val="32"/>
        </w:rPr>
        <w:t>室，备有检验设备、消毒设施和消毒药品</w:t>
      </w:r>
      <w:r w:rsidR="008714B1" w:rsidRPr="001B4D04">
        <w:rPr>
          <w:rFonts w:ascii="仿宋_GB2312" w:eastAsia="仿宋_GB2312" w:hint="eastAsia"/>
          <w:sz w:val="32"/>
          <w:szCs w:val="32"/>
        </w:rPr>
        <w:t>，</w:t>
      </w:r>
      <w:r w:rsidRPr="001B4D04">
        <w:rPr>
          <w:rFonts w:ascii="仿宋_GB2312" w:eastAsia="仿宋_GB2312" w:hint="eastAsia"/>
          <w:sz w:val="32"/>
          <w:szCs w:val="32"/>
        </w:rPr>
        <w:t>并按规定实施检验、检测和消毒</w:t>
      </w:r>
      <w:r w:rsidR="008714B1" w:rsidRPr="001B4D04">
        <w:rPr>
          <w:rFonts w:ascii="仿宋_GB2312" w:eastAsia="仿宋_GB2312" w:hint="eastAsia"/>
          <w:sz w:val="32"/>
          <w:szCs w:val="32"/>
        </w:rPr>
        <w:t>；</w:t>
      </w:r>
    </w:p>
    <w:p w14:paraId="09E9A395" w14:textId="42C2E056" w:rsidR="00DE26BE" w:rsidRPr="001B4D04" w:rsidRDefault="00795208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（五）</w:t>
      </w:r>
      <w:r w:rsidR="00DE26BE" w:rsidRPr="001B4D04">
        <w:rPr>
          <w:rFonts w:ascii="仿宋_GB2312" w:eastAsia="仿宋_GB2312" w:hint="eastAsia"/>
          <w:sz w:val="32"/>
          <w:szCs w:val="32"/>
        </w:rPr>
        <w:t>设有</w:t>
      </w:r>
      <w:r w:rsidR="009F27AE" w:rsidRPr="001B4D04">
        <w:rPr>
          <w:rFonts w:ascii="仿宋_GB2312" w:eastAsia="仿宋_GB2312" w:hint="eastAsia"/>
          <w:sz w:val="32"/>
          <w:szCs w:val="32"/>
        </w:rPr>
        <w:t>动物</w:t>
      </w:r>
      <w:r w:rsidR="00DE26BE" w:rsidRPr="001B4D04">
        <w:rPr>
          <w:rFonts w:ascii="仿宋_GB2312" w:eastAsia="仿宋_GB2312" w:hint="eastAsia"/>
          <w:sz w:val="32"/>
          <w:szCs w:val="32"/>
        </w:rPr>
        <w:t>检疫人员的工作、休息、检疫场所</w:t>
      </w:r>
      <w:r w:rsidR="008714B1" w:rsidRPr="001B4D04">
        <w:rPr>
          <w:rFonts w:ascii="仿宋_GB2312" w:eastAsia="仿宋_GB2312" w:hint="eastAsia"/>
          <w:sz w:val="32"/>
          <w:szCs w:val="32"/>
        </w:rPr>
        <w:t>；</w:t>
      </w:r>
    </w:p>
    <w:p w14:paraId="633541C0" w14:textId="2BF628E9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</w:t>
      </w:r>
      <w:r w:rsidR="00795208" w:rsidRPr="001B4D04">
        <w:rPr>
          <w:rFonts w:ascii="仿宋_GB2312" w:eastAsia="仿宋_GB2312" w:hint="eastAsia"/>
          <w:sz w:val="32"/>
          <w:szCs w:val="32"/>
        </w:rPr>
        <w:t>六</w:t>
      </w:r>
      <w:r w:rsidRPr="001B4D04">
        <w:rPr>
          <w:rFonts w:ascii="仿宋_GB2312" w:eastAsia="仿宋_GB2312" w:hint="eastAsia"/>
          <w:sz w:val="32"/>
          <w:szCs w:val="32"/>
        </w:rPr>
        <w:t>）</w:t>
      </w:r>
      <w:r w:rsidR="008714B1" w:rsidRPr="001B4D04">
        <w:rPr>
          <w:rFonts w:ascii="仿宋_GB2312" w:eastAsia="仿宋_GB2312" w:hint="eastAsia"/>
          <w:sz w:val="32"/>
          <w:szCs w:val="32"/>
        </w:rPr>
        <w:t>屠宰技术人员须</w:t>
      </w:r>
      <w:r w:rsidRPr="001B4D04">
        <w:rPr>
          <w:rFonts w:ascii="仿宋_GB2312" w:eastAsia="仿宋_GB2312" w:hint="eastAsia"/>
          <w:sz w:val="32"/>
          <w:szCs w:val="32"/>
        </w:rPr>
        <w:t>依法取得健康证明</w:t>
      </w:r>
      <w:r w:rsidR="008714B1" w:rsidRPr="001B4D04">
        <w:rPr>
          <w:rFonts w:ascii="仿宋_GB2312" w:eastAsia="仿宋_GB2312" w:hint="eastAsia"/>
          <w:sz w:val="32"/>
          <w:szCs w:val="32"/>
        </w:rPr>
        <w:t>，有</w:t>
      </w:r>
      <w:r w:rsidR="007808C4" w:rsidRPr="001B4D04">
        <w:rPr>
          <w:rFonts w:ascii="仿宋_GB2312" w:eastAsia="仿宋_GB2312" w:hint="eastAsia"/>
          <w:sz w:val="32"/>
          <w:szCs w:val="32"/>
        </w:rPr>
        <w:t>符合条件</w:t>
      </w:r>
      <w:r w:rsidRPr="001B4D04">
        <w:rPr>
          <w:rFonts w:ascii="仿宋_GB2312" w:eastAsia="仿宋_GB2312" w:hint="eastAsia"/>
          <w:sz w:val="32"/>
          <w:szCs w:val="32"/>
        </w:rPr>
        <w:t>的专职或兼职的肉品检验人员；</w:t>
      </w:r>
    </w:p>
    <w:p w14:paraId="0D284C8D" w14:textId="77777777" w:rsidR="009D7FAC" w:rsidRPr="001B4D04" w:rsidRDefault="009D7FAC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795208" w:rsidRPr="001B4D04">
        <w:rPr>
          <w:rFonts w:ascii="仿宋_GB2312" w:eastAsia="仿宋_GB2312" w:hint="eastAsia"/>
          <w:sz w:val="32"/>
          <w:szCs w:val="32"/>
        </w:rPr>
        <w:t>七</w:t>
      </w:r>
      <w:r w:rsidRPr="001B4D04">
        <w:rPr>
          <w:rFonts w:ascii="仿宋_GB2312" w:eastAsia="仿宋_GB2312" w:hint="eastAsia"/>
          <w:sz w:val="32"/>
          <w:szCs w:val="32"/>
        </w:rPr>
        <w:t>）符合国家法律、法规规定的其他条件。</w:t>
      </w:r>
    </w:p>
    <w:p w14:paraId="5E0D82FB" w14:textId="40D5B48A" w:rsidR="001A4123" w:rsidRPr="001B4D04" w:rsidRDefault="00A929D4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第</w:t>
      </w:r>
      <w:r w:rsidR="008714B1" w:rsidRPr="001B4D04">
        <w:rPr>
          <w:rFonts w:ascii="仿宋_GB2312" w:eastAsia="仿宋_GB2312" w:hint="eastAsia"/>
          <w:sz w:val="32"/>
          <w:szCs w:val="32"/>
        </w:rPr>
        <w:t>九</w:t>
      </w:r>
      <w:r w:rsidRPr="001B4D04">
        <w:rPr>
          <w:rFonts w:ascii="仿宋_GB2312" w:eastAsia="仿宋_GB2312" w:hint="eastAsia"/>
          <w:sz w:val="32"/>
          <w:szCs w:val="32"/>
        </w:rPr>
        <w:t xml:space="preserve">条 </w:t>
      </w:r>
      <w:r w:rsidR="00662BE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食用禽类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="001A4123" w:rsidRPr="001B4D04">
        <w:rPr>
          <w:rFonts w:ascii="仿宋_GB2312" w:eastAsia="仿宋_GB2312" w:hint="eastAsia"/>
          <w:sz w:val="32"/>
          <w:szCs w:val="32"/>
        </w:rPr>
        <w:t>屠宰场经营者应当履行下列义务：</w:t>
      </w:r>
    </w:p>
    <w:p w14:paraId="4766B525" w14:textId="77777777" w:rsidR="001A4123" w:rsidRPr="001B4D04" w:rsidRDefault="001A4123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（一）建立活禽进场查验登记制度，查验动物检疫</w:t>
      </w:r>
      <w:r w:rsidR="00DE26BE" w:rsidRPr="001B4D04">
        <w:rPr>
          <w:rFonts w:ascii="仿宋_GB2312" w:eastAsia="仿宋_GB2312" w:hint="eastAsia"/>
          <w:sz w:val="32"/>
          <w:szCs w:val="32"/>
        </w:rPr>
        <w:t>合格</w:t>
      </w:r>
      <w:r w:rsidRPr="001B4D04">
        <w:rPr>
          <w:rFonts w:ascii="仿宋_GB2312" w:eastAsia="仿宋_GB2312" w:hint="eastAsia"/>
          <w:sz w:val="32"/>
          <w:szCs w:val="32"/>
        </w:rPr>
        <w:t>证明，如实记录查验结果；</w:t>
      </w:r>
    </w:p>
    <w:p w14:paraId="4A401DBD" w14:textId="77777777" w:rsidR="001A4123" w:rsidRPr="001B4D04" w:rsidRDefault="001A4123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（二）建立禽类产品质量安全追溯制度，如实记录屠宰活禽来源、流向、品质检验和无害化处理情况；</w:t>
      </w:r>
    </w:p>
    <w:p w14:paraId="18C1B893" w14:textId="77777777" w:rsidR="001A4123" w:rsidRPr="001B4D04" w:rsidRDefault="001A4123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（三）按照国家规定的操作规程和技术要求进行屠宰</w:t>
      </w:r>
      <w:r w:rsidR="00772F48" w:rsidRPr="001B4D04">
        <w:rPr>
          <w:rFonts w:ascii="仿宋_GB2312" w:eastAsia="仿宋_GB2312" w:hint="eastAsia"/>
          <w:sz w:val="32"/>
          <w:szCs w:val="32"/>
        </w:rPr>
        <w:t>，不得屠宰、加工病死或死因不明的禽类；</w:t>
      </w:r>
    </w:p>
    <w:p w14:paraId="5AD29BDE" w14:textId="77777777" w:rsidR="001A4123" w:rsidRPr="001B4D04" w:rsidRDefault="001A4123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（四）出场的</w:t>
      </w:r>
      <w:r w:rsidR="00803FAF" w:rsidRPr="001B4D04">
        <w:rPr>
          <w:rFonts w:ascii="仿宋_GB2312" w:eastAsia="仿宋_GB2312" w:hint="eastAsia"/>
          <w:sz w:val="32"/>
          <w:szCs w:val="32"/>
        </w:rPr>
        <w:t>冷鲜</w:t>
      </w:r>
      <w:r w:rsidRPr="001B4D04">
        <w:rPr>
          <w:rFonts w:ascii="仿宋_GB2312" w:eastAsia="仿宋_GB2312" w:hint="eastAsia"/>
          <w:sz w:val="32"/>
          <w:szCs w:val="32"/>
        </w:rPr>
        <w:t>禽产品，按照有关规定附具检疫合格证明、检疫标志、肉类检验合格证明等证明文件</w:t>
      </w:r>
      <w:r w:rsidR="00772F48" w:rsidRPr="001B4D04">
        <w:rPr>
          <w:rFonts w:ascii="仿宋_GB2312" w:eastAsia="仿宋_GB2312" w:hint="eastAsia"/>
          <w:sz w:val="32"/>
          <w:szCs w:val="32"/>
        </w:rPr>
        <w:t>，对检疫检验不合格的禽类应当进行无害化处理</w:t>
      </w:r>
      <w:r w:rsidRPr="001B4D04">
        <w:rPr>
          <w:rFonts w:ascii="仿宋_GB2312" w:eastAsia="仿宋_GB2312" w:hint="eastAsia"/>
          <w:sz w:val="32"/>
          <w:szCs w:val="32"/>
        </w:rPr>
        <w:t>；</w:t>
      </w:r>
    </w:p>
    <w:p w14:paraId="477A9F6A" w14:textId="1B4583B4" w:rsidR="001A4123" w:rsidRPr="001B4D04" w:rsidRDefault="001A4123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（</w:t>
      </w:r>
      <w:r w:rsidR="008714B1" w:rsidRPr="001B4D04">
        <w:rPr>
          <w:rFonts w:ascii="仿宋_GB2312" w:eastAsia="仿宋_GB2312" w:hint="eastAsia"/>
          <w:sz w:val="32"/>
          <w:szCs w:val="32"/>
        </w:rPr>
        <w:t>五</w:t>
      </w:r>
      <w:r w:rsidRPr="001B4D04">
        <w:rPr>
          <w:rFonts w:ascii="仿宋_GB2312" w:eastAsia="仿宋_GB2312" w:hint="eastAsia"/>
          <w:sz w:val="32"/>
          <w:szCs w:val="32"/>
        </w:rPr>
        <w:t>）法律、法规和规章规定的其他义务。</w:t>
      </w:r>
    </w:p>
    <w:p w14:paraId="54DA44B1" w14:textId="741622A1" w:rsidR="00BA30B7" w:rsidRPr="001B4D04" w:rsidRDefault="00BA30B7" w:rsidP="0024078D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【从业人员管理】</w:t>
      </w:r>
    </w:p>
    <w:p w14:paraId="7F5BB3AA" w14:textId="617BF975" w:rsidR="00976C21" w:rsidRPr="001B4D04" w:rsidRDefault="00BE5552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第十条 </w:t>
      </w:r>
      <w:r w:rsidR="00662BE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禽类</w:t>
      </w:r>
      <w:r w:rsidR="00A929D4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交易</w:t>
      </w:r>
      <w:r w:rsidR="00BA072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从业人员应当掌握基本的健康防护知识，在进行</w:t>
      </w:r>
      <w:r w:rsidR="00662BE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禽类</w:t>
      </w:r>
      <w:r w:rsidR="00A929D4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交易</w:t>
      </w:r>
      <w:r w:rsidR="00BA072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的过程中，应当按照卫生</w:t>
      </w:r>
      <w:r w:rsidR="008B51C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健康</w:t>
      </w:r>
      <w:r w:rsidR="00BA072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部门的相关要求，采取个人防护措施。</w:t>
      </w:r>
    </w:p>
    <w:p w14:paraId="535D7B60" w14:textId="72AD3357" w:rsidR="000234C7" w:rsidRPr="001B4D04" w:rsidRDefault="000234C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【检疫管理】</w:t>
      </w:r>
    </w:p>
    <w:p w14:paraId="7C088813" w14:textId="5458E8E9" w:rsidR="002248B7" w:rsidRPr="001B4D04" w:rsidRDefault="008714B1" w:rsidP="008714B1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第十</w:t>
      </w:r>
      <w:r w:rsidR="00BA528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一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屠宰、出售、运输活禽的，应当按照国家和省有关动物防疫的规定向所在地</w:t>
      </w:r>
      <w:r w:rsidR="00D45AB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农业农村部门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申报检疫，取得《动物检疫合格证明》。</w:t>
      </w:r>
    </w:p>
    <w:p w14:paraId="475E9E27" w14:textId="497D2B0E" w:rsidR="000234C7" w:rsidRPr="001B4D04" w:rsidRDefault="000234C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【运输、配送管理】</w:t>
      </w:r>
    </w:p>
    <w:p w14:paraId="6E5942E7" w14:textId="71EC0D61" w:rsidR="00803FAF" w:rsidRPr="001B4D04" w:rsidRDefault="00BA0729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第十</w:t>
      </w:r>
      <w:r w:rsidR="00BA528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</w:t>
      </w:r>
      <w:r w:rsidR="00C121C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除种禽、苗禽运输和直接运</w:t>
      </w:r>
      <w:r w:rsidR="0033436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送活禽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至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屠宰场宰杀外，</w:t>
      </w:r>
      <w:r w:rsidR="009D4FD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单位和个人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不得运输活禽进入本市</w:t>
      </w:r>
      <w:r w:rsidR="00BD024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市区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71687773" w14:textId="3E02828D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lastRenderedPageBreak/>
        <w:t>第十</w:t>
      </w:r>
      <w:r w:rsidR="00BA528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三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冷鲜禽产品应当使用符合标准的冷链专用车配送，配送过程应当遵守相关规范，保证冷鲜禽产品的质量安全。配送冷鲜禽产品的运输、装卸工具应当进行消毒作业。</w:t>
      </w:r>
    </w:p>
    <w:p w14:paraId="0157433A" w14:textId="78FBD544" w:rsidR="00BA30B7" w:rsidRPr="001B4D04" w:rsidRDefault="00BA30B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【冷鲜禽产品经营者管理】</w:t>
      </w:r>
    </w:p>
    <w:p w14:paraId="4FBB6765" w14:textId="28BDF570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第十</w:t>
      </w:r>
      <w:r w:rsidR="00BA528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四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冷鲜禽产品经营者应当履行下列义务：</w:t>
      </w:r>
    </w:p>
    <w:p w14:paraId="637A67D4" w14:textId="77777777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（一）具备符合相关规定的销售场所和冷藏设备，保证冷鲜禽产品销售过程处于产品所需的低温环境；</w:t>
      </w:r>
    </w:p>
    <w:p w14:paraId="69EE1D8F" w14:textId="3B57DC32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（二）采购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="00662BE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屠宰场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出产的合格冷鲜禽产品，</w:t>
      </w:r>
      <w:r w:rsidR="00AF346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查验集中</w:t>
      </w:r>
      <w:r w:rsidR="00AF346F" w:rsidRPr="001B4D04">
        <w:rPr>
          <w:rFonts w:ascii="仿宋_GB2312" w:eastAsia="仿宋_GB2312" w:hAnsi="仿宋_GB2312" w:cs="仿宋_GB2312" w:hint="eastAsia"/>
          <w:kern w:val="0"/>
          <w:sz w:val="32"/>
          <w:szCs w:val="32"/>
        </w:rPr>
        <w:t>屠宰场的许可证和食品出厂检验合格证或者其他合格证明，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建立进货查验、台账登记制度；</w:t>
      </w:r>
    </w:p>
    <w:p w14:paraId="6EF0E637" w14:textId="113884BB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（三）销售的冷鲜禽产品应当符合食品安全标准，并附有</w:t>
      </w:r>
      <w:r w:rsidR="00AF346F" w:rsidRPr="001B4D04">
        <w:rPr>
          <w:rFonts w:ascii="仿宋_GB2312" w:eastAsia="仿宋_GB2312" w:hAnsi="仿宋_GB2312" w:cs="仿宋_GB2312" w:hint="eastAsia"/>
          <w:kern w:val="0"/>
          <w:sz w:val="32"/>
          <w:szCs w:val="32"/>
        </w:rPr>
        <w:t>检疫合格证明、肉类检验合格证明等证明文件；</w:t>
      </w:r>
    </w:p>
    <w:p w14:paraId="2ABCC212" w14:textId="70318863" w:rsidR="00803FAF" w:rsidRPr="001B4D04" w:rsidRDefault="00803FA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（四）法律、法规和规章规定的其他义务。</w:t>
      </w:r>
    </w:p>
    <w:p w14:paraId="374A3361" w14:textId="4EA787DF" w:rsidR="00BA30B7" w:rsidRPr="001B4D04" w:rsidRDefault="00BA30B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【监督管理】</w:t>
      </w:r>
    </w:p>
    <w:p w14:paraId="14ADA426" w14:textId="77777777" w:rsidR="000415EA" w:rsidRPr="001B4D04" w:rsidRDefault="000415EA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第十五条 市场监管、城管、农业农村等有关部门应当按照各自职责加强监管，定期单独或联合对本办法各项要求落实情况开展监督检查，依法查处各类禽类交易违法行为。</w:t>
      </w:r>
    </w:p>
    <w:p w14:paraId="363ADD95" w14:textId="3AE26B92" w:rsidR="00BA30B7" w:rsidRPr="001B4D04" w:rsidRDefault="00BA30B7" w:rsidP="0024078D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【罚则】</w:t>
      </w:r>
    </w:p>
    <w:p w14:paraId="61BEB989" w14:textId="6F482740" w:rsidR="00A912D4" w:rsidRPr="001B4D04" w:rsidRDefault="00A912D4" w:rsidP="004877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第十</w:t>
      </w:r>
      <w:r w:rsidR="000415EA" w:rsidRPr="001B4D04">
        <w:rPr>
          <w:rFonts w:ascii="仿宋_GB2312" w:eastAsia="仿宋_GB2312" w:hint="eastAsia"/>
          <w:sz w:val="32"/>
          <w:szCs w:val="32"/>
        </w:rPr>
        <w:t>六</w:t>
      </w:r>
      <w:r w:rsidRPr="001B4D04">
        <w:rPr>
          <w:rFonts w:ascii="仿宋_GB2312" w:eastAsia="仿宋_GB2312" w:hint="eastAsia"/>
          <w:sz w:val="32"/>
          <w:szCs w:val="32"/>
        </w:rPr>
        <w:t>条 违反本办法规定的行为，法律、法规、规章已有处罚规定的，从其规定。</w:t>
      </w:r>
    </w:p>
    <w:p w14:paraId="6CE0A524" w14:textId="6D2394EA" w:rsidR="0051248B" w:rsidRPr="001B4D04" w:rsidRDefault="00BA0729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4265D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十</w:t>
      </w:r>
      <w:r w:rsidR="000415E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七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</w:t>
      </w:r>
      <w:r w:rsidR="00C121C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违反本办法第</w:t>
      </w:r>
      <w:r w:rsidR="004265D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三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</w:t>
      </w:r>
      <w:r w:rsidR="008714B1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规定</w:t>
      </w:r>
      <w:r w:rsidR="004265D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</w:t>
      </w:r>
      <w:r w:rsidR="0004622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进行</w:t>
      </w:r>
      <w:r w:rsidR="00C910D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活禽交易的，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由市场监管部门</w:t>
      </w:r>
      <w:r w:rsidR="009A6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给予警告，视情况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处以</w:t>
      </w:r>
      <w:r w:rsidR="00C910D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2</w:t>
      </w:r>
      <w:r w:rsidR="00662BEE" w:rsidRPr="001B4D04">
        <w:rPr>
          <w:rFonts w:ascii="仿宋_GB2312" w:eastAsia="仿宋_GB2312" w:hAnsi="Tahoma" w:cs="Tahoma"/>
          <w:kern w:val="0"/>
          <w:sz w:val="32"/>
          <w:szCs w:val="32"/>
        </w:rPr>
        <w:t>000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元以上</w:t>
      </w:r>
      <w:r w:rsidR="00C910D9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5</w:t>
      </w:r>
      <w:r w:rsidR="00C910D9" w:rsidRPr="001B4D04">
        <w:rPr>
          <w:rFonts w:ascii="仿宋_GB2312" w:eastAsia="仿宋_GB2312" w:hAnsi="Tahoma" w:cs="Tahoma"/>
          <w:kern w:val="0"/>
          <w:sz w:val="32"/>
          <w:szCs w:val="32"/>
        </w:rPr>
        <w:t>000</w:t>
      </w:r>
      <w:r w:rsidR="004265D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元以下罚款</w:t>
      </w:r>
      <w:r w:rsidR="00C316F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，并责令相对人将活禽送至集中屠宰点进行屠宰</w:t>
      </w:r>
      <w:r w:rsidR="00A912D4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012C5742" w14:textId="2DCE0751" w:rsidR="00DA01A3" w:rsidRPr="001B4D04" w:rsidRDefault="00BA0729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lastRenderedPageBreak/>
        <w:t>第</w:t>
      </w:r>
      <w:r w:rsidR="004265D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十</w:t>
      </w:r>
      <w:r w:rsidR="000415E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八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</w:t>
      </w:r>
      <w:r w:rsidR="00C121C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违反本办法第</w:t>
      </w:r>
      <w:r w:rsidR="00A50713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七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条规定，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拒不关闭或擅自设立活禽交易市场，</w:t>
      </w:r>
      <w:r w:rsidR="0051248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在本</w:t>
      </w:r>
      <w:r w:rsidR="0051248B" w:rsidRPr="001B4D04">
        <w:rPr>
          <w:rFonts w:ascii="仿宋_GB2312" w:eastAsia="仿宋_GB2312" w:hAnsi="Tahoma" w:cs="Tahoma"/>
          <w:kern w:val="0"/>
          <w:sz w:val="32"/>
          <w:szCs w:val="32"/>
        </w:rPr>
        <w:t>办法</w:t>
      </w:r>
      <w:r w:rsidR="0033436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施行</w:t>
      </w:r>
      <w:r w:rsidR="0051248B" w:rsidRPr="001B4D04">
        <w:rPr>
          <w:rFonts w:ascii="仿宋_GB2312" w:eastAsia="仿宋_GB2312" w:hAnsi="Tahoma" w:cs="Tahoma"/>
          <w:kern w:val="0"/>
          <w:sz w:val="32"/>
          <w:szCs w:val="32"/>
        </w:rPr>
        <w:t>后仍</w:t>
      </w:r>
      <w:r w:rsidR="00A12CE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进行活禽交易的，由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市场监管</w:t>
      </w:r>
      <w:r w:rsidR="00A12CE0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部门</w:t>
      </w:r>
      <w:r w:rsidR="00725A9D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对市场开办者</w:t>
      </w:r>
      <w:r w:rsidR="006A474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责令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改正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拒不改正的</w:t>
      </w:r>
      <w:r w:rsidR="006A474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处以</w:t>
      </w:r>
      <w:r w:rsidR="00EB2812" w:rsidRPr="001B4D04">
        <w:rPr>
          <w:rFonts w:ascii="仿宋_GB2312" w:eastAsia="仿宋_GB2312" w:hAnsi="Tahoma" w:cs="Tahoma"/>
          <w:kern w:val="0"/>
          <w:sz w:val="32"/>
          <w:szCs w:val="32"/>
        </w:rPr>
        <w:t>2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万元以上</w:t>
      </w:r>
      <w:r w:rsidR="00EB2812" w:rsidRPr="001B4D04">
        <w:rPr>
          <w:rFonts w:ascii="仿宋_GB2312" w:eastAsia="仿宋_GB2312" w:hAnsi="Tahoma" w:cs="Tahoma"/>
          <w:kern w:val="0"/>
          <w:sz w:val="32"/>
          <w:szCs w:val="32"/>
        </w:rPr>
        <w:t>5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万元以下罚款。</w:t>
      </w:r>
    </w:p>
    <w:p w14:paraId="2B94CF88" w14:textId="180E9288" w:rsidR="00067C0E" w:rsidRPr="001B4D04" w:rsidRDefault="00067C0E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第十</w:t>
      </w:r>
      <w:r w:rsidR="000415E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九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市场</w:t>
      </w:r>
      <w:r w:rsidR="00725A9D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开办者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怠于履行管理职责，明知或者应知市场内经营者实施活禽交易行为而不予制止的，</w:t>
      </w:r>
      <w:r w:rsidR="0082684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由</w:t>
      </w:r>
      <w:r w:rsidR="006E678E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市场监管部门</w:t>
      </w:r>
      <w:r w:rsidR="009A6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责令改正</w:t>
      </w:r>
      <w:r w:rsidR="0082684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  <w:r w:rsidR="009A6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拒不改正的，</w:t>
      </w:r>
      <w:r w:rsidR="0082684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处以</w:t>
      </w:r>
      <w:r w:rsidR="00D63913" w:rsidRPr="001B4D04">
        <w:rPr>
          <w:rFonts w:ascii="仿宋_GB2312" w:eastAsia="仿宋_GB2312" w:hAnsi="Tahoma" w:cs="Tahoma"/>
          <w:kern w:val="0"/>
          <w:sz w:val="32"/>
          <w:szCs w:val="32"/>
        </w:rPr>
        <w:t>1</w:t>
      </w:r>
      <w:r w:rsidR="0082684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万元以上</w:t>
      </w:r>
      <w:r w:rsidR="00D63913" w:rsidRPr="001B4D04">
        <w:rPr>
          <w:rFonts w:ascii="仿宋_GB2312" w:eastAsia="仿宋_GB2312" w:hAnsi="Tahoma" w:cs="Tahoma"/>
          <w:kern w:val="0"/>
          <w:sz w:val="32"/>
          <w:szCs w:val="32"/>
        </w:rPr>
        <w:t>2</w:t>
      </w:r>
      <w:r w:rsidR="00826842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万元以下罚款。</w:t>
      </w:r>
    </w:p>
    <w:p w14:paraId="676298A0" w14:textId="26CDB64D" w:rsidR="006A4748" w:rsidRPr="001B4D04" w:rsidRDefault="006A4748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0415EA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二十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违反本办法第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九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条规定，</w:t>
      </w:r>
      <w:r w:rsidR="00923138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集中</w:t>
      </w:r>
      <w:r w:rsidR="00512607" w:rsidRPr="001B4D04">
        <w:rPr>
          <w:rFonts w:ascii="仿宋_GB2312" w:eastAsia="仿宋_GB2312" w:hint="eastAsia"/>
          <w:sz w:val="32"/>
          <w:szCs w:val="32"/>
        </w:rPr>
        <w:t>屠宰场经营者未履行相应义务的，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由</w:t>
      </w:r>
      <w:r w:rsidR="009F27AE" w:rsidRPr="001B4D04">
        <w:rPr>
          <w:rFonts w:ascii="仿宋_GB2312" w:eastAsia="仿宋_GB2312" w:hint="eastAsia"/>
          <w:sz w:val="32"/>
          <w:szCs w:val="32"/>
        </w:rPr>
        <w:t>农业农村部门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责令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限期改正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；</w:t>
      </w:r>
      <w:r w:rsidR="0051260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逾期未改正的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，处以2万元以上</w:t>
      </w:r>
      <w:r w:rsidR="00EB2812" w:rsidRPr="001B4D04">
        <w:rPr>
          <w:rFonts w:ascii="仿宋_GB2312" w:eastAsia="仿宋_GB2312" w:hAnsi="Tahoma" w:cs="Tahoma"/>
          <w:kern w:val="0"/>
          <w:sz w:val="32"/>
          <w:szCs w:val="32"/>
        </w:rPr>
        <w:t>5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万元以下罚款。</w:t>
      </w:r>
    </w:p>
    <w:p w14:paraId="1D1C3826" w14:textId="11A59569" w:rsidR="006D1869" w:rsidRPr="001B4D04" w:rsidRDefault="00AD4AD1" w:rsidP="006812B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int="eastAsia"/>
          <w:sz w:val="32"/>
          <w:szCs w:val="32"/>
        </w:rPr>
        <w:t>第二十</w:t>
      </w:r>
      <w:r w:rsidR="009F426B">
        <w:rPr>
          <w:rFonts w:ascii="仿宋_GB2312" w:eastAsia="仿宋_GB2312" w:hint="eastAsia"/>
          <w:sz w:val="32"/>
          <w:szCs w:val="32"/>
        </w:rPr>
        <w:t>一</w:t>
      </w:r>
      <w:r w:rsidRPr="001B4D04">
        <w:rPr>
          <w:rFonts w:ascii="仿宋_GB2312" w:eastAsia="仿宋_GB2312" w:hint="eastAsia"/>
          <w:sz w:val="32"/>
          <w:szCs w:val="32"/>
        </w:rPr>
        <w:t>条 依法行使监督管理职责的部门、单位及其工作人员玩忽职守、滥用职权、徇私舞弊的，由其所在单位或者上级 主管机关对直接负责的主管人员和其他直接责任人，依法给予行政处分；涉嫌犯罪的，移送司法机关依法追究刑事责任。</w:t>
      </w:r>
    </w:p>
    <w:p w14:paraId="32D25B77" w14:textId="29889CB3" w:rsidR="00BA30B7" w:rsidRPr="001B4D04" w:rsidRDefault="00BA30B7" w:rsidP="0024078D">
      <w:pPr>
        <w:spacing w:line="540" w:lineRule="exact"/>
        <w:jc w:val="center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【附则】</w:t>
      </w:r>
    </w:p>
    <w:p w14:paraId="5EA2D3FC" w14:textId="72746FBE" w:rsidR="00BD024F" w:rsidRPr="001B4D04" w:rsidRDefault="00BD024F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AD4AD1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二十</w:t>
      </w:r>
      <w:r w:rsidR="009F426B">
        <w:rPr>
          <w:rFonts w:ascii="仿宋_GB2312" w:eastAsia="仿宋_GB2312" w:hAnsi="Tahoma" w:cs="Tahoma" w:hint="eastAsia"/>
          <w:kern w:val="0"/>
          <w:sz w:val="32"/>
          <w:szCs w:val="32"/>
        </w:rPr>
        <w:t>二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 江阴市</w:t>
      </w:r>
      <w:r w:rsidRPr="001B4D04">
        <w:rPr>
          <w:rFonts w:ascii="仿宋_GB2312" w:eastAsia="仿宋_GB2312" w:hAnsi="Tahoma" w:cs="Tahoma"/>
          <w:kern w:val="0"/>
          <w:sz w:val="32"/>
          <w:szCs w:val="32"/>
        </w:rPr>
        <w:t>、宜兴市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可</w:t>
      </w:r>
      <w:r w:rsidR="0033436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根据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本办法，结合各自实际</w:t>
      </w:r>
      <w:r w:rsidR="0033436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具体实施禽类交易管理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。</w:t>
      </w:r>
    </w:p>
    <w:p w14:paraId="27AB4925" w14:textId="413C0FB4" w:rsidR="00EF5706" w:rsidRPr="001B4D04" w:rsidRDefault="00BA0729" w:rsidP="00487708">
      <w:pPr>
        <w:spacing w:line="54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第</w:t>
      </w:r>
      <w:r w:rsidR="00D9413B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二十</w:t>
      </w:r>
      <w:r w:rsidR="009F426B">
        <w:rPr>
          <w:rFonts w:ascii="仿宋_GB2312" w:eastAsia="仿宋_GB2312" w:hAnsi="Tahoma" w:cs="Tahoma" w:hint="eastAsia"/>
          <w:kern w:val="0"/>
          <w:sz w:val="32"/>
          <w:szCs w:val="32"/>
        </w:rPr>
        <w:t>三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条</w:t>
      </w:r>
      <w:r w:rsidR="00BD024F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 xml:space="preserve"> 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本办法自</w:t>
      </w:r>
      <w:r w:rsidR="00BA30B7"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*年*月*日</w:t>
      </w:r>
      <w:r w:rsidRPr="001B4D04">
        <w:rPr>
          <w:rFonts w:ascii="仿宋_GB2312" w:eastAsia="仿宋_GB2312" w:hAnsi="Tahoma" w:cs="Tahoma" w:hint="eastAsia"/>
          <w:kern w:val="0"/>
          <w:sz w:val="32"/>
          <w:szCs w:val="32"/>
        </w:rPr>
        <w:t>起施行。</w:t>
      </w:r>
    </w:p>
    <w:sectPr w:rsidR="00EF5706" w:rsidRPr="001B4D04" w:rsidSect="00CE5FBB">
      <w:footerReference w:type="even" r:id="rId7"/>
      <w:footerReference w:type="default" r:id="rId8"/>
      <w:pgSz w:w="11906" w:h="16838" w:code="9"/>
      <w:pgMar w:top="2098" w:right="1474" w:bottom="1985" w:left="1588" w:header="1701" w:footer="1020" w:gutter="0"/>
      <w:pgNumType w:fmt="numberInDash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19AC" w14:textId="77777777" w:rsidR="00F54FBB" w:rsidRDefault="00F54FBB" w:rsidP="00BA0729">
      <w:r>
        <w:separator/>
      </w:r>
    </w:p>
  </w:endnote>
  <w:endnote w:type="continuationSeparator" w:id="0">
    <w:p w14:paraId="5DF8DE8E" w14:textId="77777777" w:rsidR="00F54FBB" w:rsidRDefault="00F54FBB" w:rsidP="00BA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18425"/>
      <w:docPartObj>
        <w:docPartGallery w:val="Page Numbers (Bottom of Page)"/>
        <w:docPartUnique/>
      </w:docPartObj>
    </w:sdtPr>
    <w:sdtEndPr/>
    <w:sdtContent>
      <w:p w14:paraId="2F22EC42" w14:textId="77777777" w:rsidR="006D1869" w:rsidRDefault="00846262">
        <w:pPr>
          <w:pStyle w:val="a4"/>
          <w:jc w:val="center"/>
        </w:pPr>
        <w:r>
          <w:fldChar w:fldCharType="begin"/>
        </w:r>
        <w:r w:rsidR="006D1869">
          <w:instrText>PAGE   \* MERGEFORMAT</w:instrText>
        </w:r>
        <w:r>
          <w:fldChar w:fldCharType="separate"/>
        </w:r>
        <w:r w:rsidR="002B53F6" w:rsidRPr="002B53F6">
          <w:rPr>
            <w:noProof/>
            <w:lang w:val="zh-CN"/>
          </w:rPr>
          <w:t>-</w:t>
        </w:r>
        <w:r w:rsidR="002B53F6">
          <w:rPr>
            <w:noProof/>
          </w:rPr>
          <w:t xml:space="preserve"> 6 -</w:t>
        </w:r>
        <w:r>
          <w:fldChar w:fldCharType="end"/>
        </w:r>
      </w:p>
    </w:sdtContent>
  </w:sdt>
  <w:p w14:paraId="69CE777E" w14:textId="77777777" w:rsidR="006D1869" w:rsidRDefault="006D18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815600"/>
      <w:docPartObj>
        <w:docPartGallery w:val="Page Numbers (Bottom of Page)"/>
        <w:docPartUnique/>
      </w:docPartObj>
    </w:sdtPr>
    <w:sdtEndPr/>
    <w:sdtContent>
      <w:p w14:paraId="7649AC5C" w14:textId="77777777" w:rsidR="006D1869" w:rsidRDefault="00846262">
        <w:pPr>
          <w:pStyle w:val="a4"/>
          <w:jc w:val="center"/>
        </w:pPr>
        <w:r>
          <w:fldChar w:fldCharType="begin"/>
        </w:r>
        <w:r w:rsidR="006D1869">
          <w:instrText>PAGE   \* MERGEFORMAT</w:instrText>
        </w:r>
        <w:r>
          <w:fldChar w:fldCharType="separate"/>
        </w:r>
        <w:r w:rsidR="002B53F6" w:rsidRPr="002B53F6">
          <w:rPr>
            <w:noProof/>
            <w:lang w:val="zh-CN"/>
          </w:rPr>
          <w:t>-</w:t>
        </w:r>
        <w:r w:rsidR="002B53F6">
          <w:rPr>
            <w:noProof/>
          </w:rPr>
          <w:t xml:space="preserve"> 1 -</w:t>
        </w:r>
        <w:r>
          <w:fldChar w:fldCharType="end"/>
        </w:r>
      </w:p>
    </w:sdtContent>
  </w:sdt>
  <w:p w14:paraId="03662E67" w14:textId="77777777" w:rsidR="006D1869" w:rsidRDefault="006D1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1B4B" w14:textId="77777777" w:rsidR="00F54FBB" w:rsidRDefault="00F54FBB" w:rsidP="00BA0729">
      <w:r>
        <w:separator/>
      </w:r>
    </w:p>
  </w:footnote>
  <w:footnote w:type="continuationSeparator" w:id="0">
    <w:p w14:paraId="07657F41" w14:textId="77777777" w:rsidR="00F54FBB" w:rsidRDefault="00F54FBB" w:rsidP="00BA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D"/>
    <w:rsid w:val="00002D01"/>
    <w:rsid w:val="00005A23"/>
    <w:rsid w:val="000234C7"/>
    <w:rsid w:val="000260F2"/>
    <w:rsid w:val="000415EA"/>
    <w:rsid w:val="000428AF"/>
    <w:rsid w:val="00046222"/>
    <w:rsid w:val="00054E56"/>
    <w:rsid w:val="00067C0E"/>
    <w:rsid w:val="00077AFE"/>
    <w:rsid w:val="000C4CA4"/>
    <w:rsid w:val="000D2610"/>
    <w:rsid w:val="000D4137"/>
    <w:rsid w:val="000E0478"/>
    <w:rsid w:val="000E08FD"/>
    <w:rsid w:val="00102BD1"/>
    <w:rsid w:val="001053E4"/>
    <w:rsid w:val="00121E88"/>
    <w:rsid w:val="00131552"/>
    <w:rsid w:val="00136B2F"/>
    <w:rsid w:val="00156D4B"/>
    <w:rsid w:val="0017318D"/>
    <w:rsid w:val="0018456E"/>
    <w:rsid w:val="0019509B"/>
    <w:rsid w:val="001A4123"/>
    <w:rsid w:val="001A4172"/>
    <w:rsid w:val="001A4686"/>
    <w:rsid w:val="001B35E4"/>
    <w:rsid w:val="001B4254"/>
    <w:rsid w:val="001B4D04"/>
    <w:rsid w:val="001C5E0C"/>
    <w:rsid w:val="001D21D9"/>
    <w:rsid w:val="001E1362"/>
    <w:rsid w:val="001E2193"/>
    <w:rsid w:val="002248B7"/>
    <w:rsid w:val="00225A94"/>
    <w:rsid w:val="0024078D"/>
    <w:rsid w:val="00255CB5"/>
    <w:rsid w:val="002606FA"/>
    <w:rsid w:val="00262512"/>
    <w:rsid w:val="0026685B"/>
    <w:rsid w:val="00284D6F"/>
    <w:rsid w:val="002A3285"/>
    <w:rsid w:val="002A66CB"/>
    <w:rsid w:val="002B53F6"/>
    <w:rsid w:val="002B7ED0"/>
    <w:rsid w:val="002D55D6"/>
    <w:rsid w:val="002E7AAD"/>
    <w:rsid w:val="002F3493"/>
    <w:rsid w:val="002F7FDB"/>
    <w:rsid w:val="00312106"/>
    <w:rsid w:val="00321064"/>
    <w:rsid w:val="003211C3"/>
    <w:rsid w:val="00322EF0"/>
    <w:rsid w:val="00322F42"/>
    <w:rsid w:val="0033436B"/>
    <w:rsid w:val="003403E8"/>
    <w:rsid w:val="00366316"/>
    <w:rsid w:val="00370E6E"/>
    <w:rsid w:val="003906A7"/>
    <w:rsid w:val="00391053"/>
    <w:rsid w:val="004265DF"/>
    <w:rsid w:val="00440392"/>
    <w:rsid w:val="00487708"/>
    <w:rsid w:val="00495911"/>
    <w:rsid w:val="004A0DC7"/>
    <w:rsid w:val="004E24AB"/>
    <w:rsid w:val="004E620D"/>
    <w:rsid w:val="005105D9"/>
    <w:rsid w:val="0051248B"/>
    <w:rsid w:val="00512607"/>
    <w:rsid w:val="005448F3"/>
    <w:rsid w:val="005674B5"/>
    <w:rsid w:val="00583AC2"/>
    <w:rsid w:val="00584042"/>
    <w:rsid w:val="00585D83"/>
    <w:rsid w:val="005963FE"/>
    <w:rsid w:val="005A5D0A"/>
    <w:rsid w:val="005A7D94"/>
    <w:rsid w:val="005B3627"/>
    <w:rsid w:val="005C11A3"/>
    <w:rsid w:val="005C1B6D"/>
    <w:rsid w:val="005C68B7"/>
    <w:rsid w:val="005D0177"/>
    <w:rsid w:val="005D4253"/>
    <w:rsid w:val="005E6252"/>
    <w:rsid w:val="00614C48"/>
    <w:rsid w:val="00616C0E"/>
    <w:rsid w:val="00627F80"/>
    <w:rsid w:val="0064174E"/>
    <w:rsid w:val="00662BEE"/>
    <w:rsid w:val="006666EC"/>
    <w:rsid w:val="006771F6"/>
    <w:rsid w:val="006812B8"/>
    <w:rsid w:val="00691396"/>
    <w:rsid w:val="006A4748"/>
    <w:rsid w:val="006D1869"/>
    <w:rsid w:val="006D430B"/>
    <w:rsid w:val="006E678E"/>
    <w:rsid w:val="00717EA0"/>
    <w:rsid w:val="007254DC"/>
    <w:rsid w:val="00725A9D"/>
    <w:rsid w:val="007324F5"/>
    <w:rsid w:val="0075080A"/>
    <w:rsid w:val="0076187B"/>
    <w:rsid w:val="007622F3"/>
    <w:rsid w:val="00763B81"/>
    <w:rsid w:val="00772F48"/>
    <w:rsid w:val="00775E46"/>
    <w:rsid w:val="007808C4"/>
    <w:rsid w:val="0079091F"/>
    <w:rsid w:val="00795208"/>
    <w:rsid w:val="007A5C29"/>
    <w:rsid w:val="007A68C0"/>
    <w:rsid w:val="007B00FB"/>
    <w:rsid w:val="007B6757"/>
    <w:rsid w:val="00803FAF"/>
    <w:rsid w:val="008213F5"/>
    <w:rsid w:val="00826842"/>
    <w:rsid w:val="00846262"/>
    <w:rsid w:val="008521AE"/>
    <w:rsid w:val="00866D3F"/>
    <w:rsid w:val="008714B1"/>
    <w:rsid w:val="008846C4"/>
    <w:rsid w:val="00885CD8"/>
    <w:rsid w:val="00893E6D"/>
    <w:rsid w:val="00895E3A"/>
    <w:rsid w:val="008A381D"/>
    <w:rsid w:val="008A5705"/>
    <w:rsid w:val="008A7DB6"/>
    <w:rsid w:val="008B51C9"/>
    <w:rsid w:val="008D4924"/>
    <w:rsid w:val="008D57BE"/>
    <w:rsid w:val="008E2391"/>
    <w:rsid w:val="008E3E85"/>
    <w:rsid w:val="008E464E"/>
    <w:rsid w:val="008E4703"/>
    <w:rsid w:val="008E5A78"/>
    <w:rsid w:val="00911E0B"/>
    <w:rsid w:val="00917959"/>
    <w:rsid w:val="00923138"/>
    <w:rsid w:val="00924C09"/>
    <w:rsid w:val="00950486"/>
    <w:rsid w:val="00976C21"/>
    <w:rsid w:val="00990011"/>
    <w:rsid w:val="00993ABF"/>
    <w:rsid w:val="009A4C04"/>
    <w:rsid w:val="009A6607"/>
    <w:rsid w:val="009D11CD"/>
    <w:rsid w:val="009D4FD9"/>
    <w:rsid w:val="009D7FAC"/>
    <w:rsid w:val="009F27AE"/>
    <w:rsid w:val="009F426B"/>
    <w:rsid w:val="00A12CE0"/>
    <w:rsid w:val="00A27A46"/>
    <w:rsid w:val="00A3051A"/>
    <w:rsid w:val="00A30DC6"/>
    <w:rsid w:val="00A37212"/>
    <w:rsid w:val="00A46AE6"/>
    <w:rsid w:val="00A50713"/>
    <w:rsid w:val="00A644EE"/>
    <w:rsid w:val="00A85D82"/>
    <w:rsid w:val="00A912D4"/>
    <w:rsid w:val="00A929D4"/>
    <w:rsid w:val="00AD056C"/>
    <w:rsid w:val="00AD4AD1"/>
    <w:rsid w:val="00AD5007"/>
    <w:rsid w:val="00AF0AF6"/>
    <w:rsid w:val="00AF346F"/>
    <w:rsid w:val="00B0111F"/>
    <w:rsid w:val="00B07413"/>
    <w:rsid w:val="00B16AA7"/>
    <w:rsid w:val="00B20481"/>
    <w:rsid w:val="00B205F7"/>
    <w:rsid w:val="00B236BE"/>
    <w:rsid w:val="00B36B2B"/>
    <w:rsid w:val="00B62417"/>
    <w:rsid w:val="00B62910"/>
    <w:rsid w:val="00B734A8"/>
    <w:rsid w:val="00BA0729"/>
    <w:rsid w:val="00BA30B7"/>
    <w:rsid w:val="00BA5280"/>
    <w:rsid w:val="00BB540B"/>
    <w:rsid w:val="00BD024F"/>
    <w:rsid w:val="00BD144C"/>
    <w:rsid w:val="00BE5552"/>
    <w:rsid w:val="00BF4D44"/>
    <w:rsid w:val="00C074FE"/>
    <w:rsid w:val="00C121CA"/>
    <w:rsid w:val="00C21525"/>
    <w:rsid w:val="00C270D9"/>
    <w:rsid w:val="00C316F2"/>
    <w:rsid w:val="00C42541"/>
    <w:rsid w:val="00C46ED8"/>
    <w:rsid w:val="00C559A3"/>
    <w:rsid w:val="00C61973"/>
    <w:rsid w:val="00C624F5"/>
    <w:rsid w:val="00C910D9"/>
    <w:rsid w:val="00CA1A3D"/>
    <w:rsid w:val="00CA6746"/>
    <w:rsid w:val="00CB5B4A"/>
    <w:rsid w:val="00CC6975"/>
    <w:rsid w:val="00CE5FBB"/>
    <w:rsid w:val="00CF3787"/>
    <w:rsid w:val="00CF53F2"/>
    <w:rsid w:val="00D013E8"/>
    <w:rsid w:val="00D165EB"/>
    <w:rsid w:val="00D25891"/>
    <w:rsid w:val="00D42670"/>
    <w:rsid w:val="00D4478E"/>
    <w:rsid w:val="00D45AB0"/>
    <w:rsid w:val="00D63913"/>
    <w:rsid w:val="00D72559"/>
    <w:rsid w:val="00D834DA"/>
    <w:rsid w:val="00D8432A"/>
    <w:rsid w:val="00D91ABC"/>
    <w:rsid w:val="00D9413B"/>
    <w:rsid w:val="00DA01A3"/>
    <w:rsid w:val="00DA26D4"/>
    <w:rsid w:val="00DA36EF"/>
    <w:rsid w:val="00DE26BE"/>
    <w:rsid w:val="00DF5923"/>
    <w:rsid w:val="00E03C8B"/>
    <w:rsid w:val="00E06A20"/>
    <w:rsid w:val="00E31AF7"/>
    <w:rsid w:val="00E3430E"/>
    <w:rsid w:val="00EB2812"/>
    <w:rsid w:val="00EB2C65"/>
    <w:rsid w:val="00ED198B"/>
    <w:rsid w:val="00ED6702"/>
    <w:rsid w:val="00EE469E"/>
    <w:rsid w:val="00EE599B"/>
    <w:rsid w:val="00EF203B"/>
    <w:rsid w:val="00EF5706"/>
    <w:rsid w:val="00F11869"/>
    <w:rsid w:val="00F202CB"/>
    <w:rsid w:val="00F30182"/>
    <w:rsid w:val="00F30D35"/>
    <w:rsid w:val="00F43A88"/>
    <w:rsid w:val="00F46F0D"/>
    <w:rsid w:val="00F54FBB"/>
    <w:rsid w:val="00F56051"/>
    <w:rsid w:val="00F57402"/>
    <w:rsid w:val="00F70D15"/>
    <w:rsid w:val="00F83D27"/>
    <w:rsid w:val="00FA396E"/>
    <w:rsid w:val="00FA6EA0"/>
    <w:rsid w:val="00FC5F29"/>
    <w:rsid w:val="00FD2513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2122"/>
  <w15:docId w15:val="{EC3D26F7-2ECF-4AE8-BDFD-C64B32F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A30B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6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6B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A30B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D466-A129-435C-8F95-80D709E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网信中心</cp:lastModifiedBy>
  <cp:revision>2</cp:revision>
  <dcterms:created xsi:type="dcterms:W3CDTF">2020-08-28T08:23:00Z</dcterms:created>
  <dcterms:modified xsi:type="dcterms:W3CDTF">2020-08-28T08:23:00Z</dcterms:modified>
</cp:coreProperties>
</file>