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关于进一步加强地方储备粮</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轮换管理的通知</w:t>
      </w:r>
    </w:p>
    <w:p>
      <w:pPr>
        <w:spacing w:line="600" w:lineRule="exact"/>
        <w:rPr>
          <w:rFonts w:hint="eastAsia"/>
          <w:lang w:eastAsia="zh-CN"/>
        </w:rPr>
      </w:pPr>
    </w:p>
    <w:p>
      <w:pPr>
        <w:spacing w:line="600" w:lineRule="exact"/>
        <w:rPr>
          <w:rFonts w:hint="eastAsia"/>
          <w:lang w:eastAsia="zh-CN"/>
        </w:rPr>
      </w:pPr>
      <w:r>
        <w:rPr>
          <w:rFonts w:hint="eastAsia"/>
          <w:lang w:eastAsia="zh-CN"/>
        </w:rPr>
        <w:t>各地级以上市粮食和储备局、财政局（委），农发行各市分行，深圳、河源、阳江、茂名市发展改革局（委），省储备粮管理总公司：</w:t>
      </w:r>
    </w:p>
    <w:p>
      <w:pPr>
        <w:spacing w:line="600" w:lineRule="exact"/>
        <w:ind w:left="0" w:leftChars="0" w:firstLine="640" w:firstLineChars="200"/>
        <w:rPr>
          <w:rFonts w:hint="eastAsia"/>
          <w:lang w:eastAsia="zh-CN"/>
        </w:rPr>
      </w:pPr>
      <w:r>
        <w:rPr>
          <w:rFonts w:hint="eastAsia"/>
          <w:lang w:eastAsia="zh-CN"/>
        </w:rPr>
        <w:t>为进一步推动地方储备粮轮换制度化、规范化，确保地方储备粮数量真实、质量良好、储存安全，根据国家和省相关文件精神，现就进一步加强我省地方储备粮轮换管理有关要求通知如下，请结合实际抓好贯彻落实。</w:t>
      </w:r>
    </w:p>
    <w:p>
      <w:pPr>
        <w:spacing w:line="600" w:lineRule="exact"/>
        <w:ind w:left="0" w:leftChars="0" w:firstLine="640" w:firstLineChars="200"/>
        <w:rPr>
          <w:rFonts w:hint="eastAsia" w:ascii="黑体" w:hAnsi="黑体" w:eastAsia="黑体" w:cs="黑体"/>
          <w:lang w:eastAsia="zh-CN"/>
        </w:rPr>
      </w:pPr>
      <w:r>
        <w:rPr>
          <w:rFonts w:hint="eastAsia" w:ascii="黑体" w:hAnsi="黑体" w:eastAsia="黑体" w:cs="黑体"/>
          <w:lang w:eastAsia="zh-CN"/>
        </w:rPr>
        <w:t>一、总体要求</w:t>
      </w:r>
    </w:p>
    <w:p>
      <w:pPr>
        <w:spacing w:line="600" w:lineRule="exact"/>
        <w:ind w:left="0" w:leftChars="0" w:firstLine="640" w:firstLineChars="200"/>
        <w:rPr>
          <w:rFonts w:hint="eastAsia"/>
          <w:lang w:eastAsia="zh-CN"/>
        </w:rPr>
      </w:pPr>
      <w:r>
        <w:rPr>
          <w:rFonts w:hint="eastAsia"/>
          <w:lang w:eastAsia="zh-CN"/>
        </w:rPr>
        <w:t>储备粮轮换是保</w:t>
      </w:r>
      <w:r>
        <w:rPr>
          <w:rFonts w:hint="eastAsia"/>
          <w:lang w:val="en-US" w:eastAsia="zh-CN"/>
        </w:rPr>
        <w:t>证</w:t>
      </w:r>
      <w:r>
        <w:rPr>
          <w:rFonts w:hint="eastAsia"/>
          <w:lang w:eastAsia="zh-CN"/>
        </w:rPr>
        <w:t>储备粮</w:t>
      </w:r>
      <w:r>
        <w:rPr>
          <w:rFonts w:hint="eastAsia"/>
          <w:lang w:val="en-US" w:eastAsia="zh-CN"/>
        </w:rPr>
        <w:t>质量</w:t>
      </w:r>
      <w:r>
        <w:rPr>
          <w:rFonts w:hint="eastAsia"/>
          <w:lang w:eastAsia="zh-CN"/>
        </w:rPr>
        <w:t>、优化储备粮品种结构、</w:t>
      </w:r>
      <w:r>
        <w:rPr>
          <w:rFonts w:hint="eastAsia"/>
          <w:lang w:val="en-US" w:eastAsia="zh-CN"/>
        </w:rPr>
        <w:t>调节市场供需</w:t>
      </w:r>
      <w:r>
        <w:rPr>
          <w:rFonts w:hint="eastAsia"/>
          <w:lang w:eastAsia="zh-CN"/>
        </w:rPr>
        <w:t>的重要手段。地方储备粮轮换要坚持制度化、规范化、信息化管理，不断完善轮换管理制度，</w:t>
      </w:r>
      <w:r>
        <w:rPr>
          <w:rFonts w:hint="eastAsia"/>
          <w:lang w:val="en-US" w:eastAsia="zh-CN"/>
        </w:rPr>
        <w:t>创新管理方式，</w:t>
      </w:r>
      <w:r>
        <w:rPr>
          <w:rFonts w:hint="eastAsia"/>
          <w:lang w:eastAsia="zh-CN"/>
        </w:rPr>
        <w:t>建立健全轮换操作规范，</w:t>
      </w:r>
      <w:r>
        <w:rPr>
          <w:rFonts w:hint="eastAsia"/>
          <w:lang w:val="en-US" w:eastAsia="zh-CN"/>
        </w:rPr>
        <w:t>坚持落实企业主体责任，强化企业内部管控和外部监管，</w:t>
      </w:r>
      <w:r>
        <w:rPr>
          <w:rFonts w:hint="eastAsia"/>
          <w:lang w:eastAsia="zh-CN"/>
        </w:rPr>
        <w:t>确保地方储备粮安全。要坚持服从粮食市场宏观调控需要，</w:t>
      </w:r>
      <w:r>
        <w:rPr>
          <w:rFonts w:hint="eastAsia"/>
          <w:lang w:val="en-US" w:eastAsia="zh-CN"/>
        </w:rPr>
        <w:t>结合</w:t>
      </w:r>
      <w:r>
        <w:rPr>
          <w:rFonts w:hint="eastAsia"/>
          <w:lang w:eastAsia="zh-CN"/>
        </w:rPr>
        <w:t>市场</w:t>
      </w:r>
      <w:r>
        <w:rPr>
          <w:rFonts w:hint="eastAsia"/>
          <w:lang w:val="en-US" w:eastAsia="zh-CN"/>
        </w:rPr>
        <w:t>情况灵活</w:t>
      </w:r>
      <w:r>
        <w:rPr>
          <w:rFonts w:hint="eastAsia"/>
          <w:lang w:eastAsia="zh-CN"/>
        </w:rPr>
        <w:t>运作，提高运作效能，实现地方储备粮管理良性循环。</w:t>
      </w:r>
    </w:p>
    <w:p>
      <w:pPr>
        <w:spacing w:line="600" w:lineRule="exact"/>
        <w:ind w:left="0" w:leftChars="0" w:firstLine="640" w:firstLineChars="200"/>
        <w:rPr>
          <w:rFonts w:hint="eastAsia" w:ascii="黑体" w:hAnsi="黑体" w:eastAsia="黑体" w:cs="黑体"/>
          <w:lang w:eastAsia="zh-CN"/>
        </w:rPr>
      </w:pPr>
      <w:r>
        <w:rPr>
          <w:rFonts w:hint="eastAsia" w:ascii="黑体" w:hAnsi="黑体" w:eastAsia="黑体" w:cs="黑体"/>
          <w:lang w:eastAsia="zh-CN"/>
        </w:rPr>
        <w:t>二、基本原则</w:t>
      </w:r>
    </w:p>
    <w:p>
      <w:pPr>
        <w:spacing w:line="600" w:lineRule="exact"/>
        <w:ind w:left="0" w:leftChars="0" w:firstLine="640" w:firstLineChars="200"/>
        <w:rPr>
          <w:rFonts w:hint="eastAsia"/>
          <w:lang w:eastAsia="zh-CN"/>
        </w:rPr>
      </w:pPr>
      <w:r>
        <w:rPr>
          <w:rFonts w:hint="eastAsia"/>
          <w:lang w:eastAsia="zh-CN"/>
        </w:rPr>
        <w:t>——</w:t>
      </w:r>
      <w:r>
        <w:rPr>
          <w:rFonts w:hint="eastAsia"/>
          <w:lang w:val="en-US" w:eastAsia="zh-CN"/>
        </w:rPr>
        <w:t>调控市场、</w:t>
      </w:r>
      <w:r>
        <w:rPr>
          <w:rFonts w:hint="eastAsia"/>
          <w:lang w:eastAsia="zh-CN"/>
        </w:rPr>
        <w:t>保障供给。地方储备粮轮换要服务粮食宏观调控，满足国家和省对地方储备粮常态库存数量比例的要求。注重轮换节奏和时机，确保储备粮库存充足，供给稳定，调控有力。</w:t>
      </w:r>
    </w:p>
    <w:p>
      <w:pPr>
        <w:spacing w:line="600" w:lineRule="exact"/>
        <w:ind w:left="0" w:leftChars="0" w:firstLine="640" w:firstLineChars="200"/>
        <w:rPr>
          <w:rFonts w:hint="eastAsia"/>
          <w:lang w:eastAsia="zh-CN"/>
        </w:rPr>
      </w:pPr>
      <w:r>
        <w:rPr>
          <w:rFonts w:hint="eastAsia"/>
          <w:lang w:eastAsia="zh-CN"/>
        </w:rPr>
        <w:t>——质量良好，储存安全。地方储备粮轮换要做到去旧粮储新粮、去差粮储好粮，有利于保证储备粮品质，确保储备粮常储常新。</w:t>
      </w:r>
    </w:p>
    <w:p>
      <w:pPr>
        <w:spacing w:line="600" w:lineRule="exact"/>
        <w:ind w:left="0" w:leftChars="0" w:firstLine="640" w:firstLineChars="200"/>
        <w:rPr>
          <w:rFonts w:hint="eastAsia"/>
          <w:lang w:eastAsia="zh-CN"/>
        </w:rPr>
      </w:pPr>
      <w:r>
        <w:rPr>
          <w:rFonts w:hint="eastAsia"/>
          <w:lang w:eastAsia="zh-CN"/>
        </w:rPr>
        <w:t>——提高效能、控制风险。地方储备粮轮换要</w:t>
      </w:r>
      <w:r>
        <w:rPr>
          <w:rFonts w:hint="eastAsia"/>
          <w:lang w:val="en-US" w:eastAsia="zh-CN"/>
        </w:rPr>
        <w:t>结合当地市场灵活安排，加强研判控制风险，要</w:t>
      </w:r>
      <w:r>
        <w:rPr>
          <w:rFonts w:hint="eastAsia"/>
          <w:lang w:eastAsia="zh-CN"/>
        </w:rPr>
        <w:t>有利于减少储备粮价值损失，降低运作成本，提高管理效率和运作效能。</w:t>
      </w:r>
    </w:p>
    <w:p>
      <w:pPr>
        <w:spacing w:line="600" w:lineRule="exact"/>
        <w:ind w:left="0" w:leftChars="0" w:firstLine="640" w:firstLineChars="200"/>
        <w:rPr>
          <w:rFonts w:hint="eastAsia" w:ascii="黑体" w:hAnsi="黑体" w:eastAsia="黑体" w:cs="黑体"/>
          <w:lang w:eastAsia="zh-CN"/>
        </w:rPr>
      </w:pPr>
      <w:r>
        <w:rPr>
          <w:rFonts w:hint="eastAsia" w:ascii="黑体" w:hAnsi="黑体" w:eastAsia="黑体" w:cs="黑体"/>
          <w:lang w:eastAsia="zh-CN"/>
        </w:rPr>
        <w:t>三、科学选择轮换方式</w:t>
      </w:r>
    </w:p>
    <w:p>
      <w:pPr>
        <w:spacing w:line="600" w:lineRule="exact"/>
        <w:ind w:left="0" w:leftChars="0" w:firstLine="640" w:firstLineChars="200"/>
        <w:rPr>
          <w:rFonts w:hint="eastAsia"/>
          <w:lang w:eastAsia="zh-CN"/>
        </w:rPr>
      </w:pPr>
      <w:r>
        <w:rPr>
          <w:rFonts w:hint="eastAsia"/>
          <w:lang w:eastAsia="zh-CN"/>
        </w:rPr>
        <w:t>地方储备粮轮换可以采取按计划每年固定轮换一定比例的静态轮换方式，也可采取在满足任何时点最低实物库存比例的前提下，由承储企业自主轮换的方式（或称动态轮换）。各地在确定轮换方式时，应对本地区粮食安全保障和地方储备粮安全管理形势进行科学评估，在保障本地区粮食安全和粮食市场稳定的前提下，因地制宜科学决策。</w:t>
      </w:r>
    </w:p>
    <w:p>
      <w:pPr>
        <w:spacing w:line="600" w:lineRule="exact"/>
        <w:ind w:left="0" w:leftChars="0" w:firstLine="640" w:firstLineChars="200"/>
        <w:rPr>
          <w:rFonts w:hint="eastAsia" w:ascii="黑体" w:hAnsi="黑体" w:eastAsia="黑体" w:cs="黑体"/>
          <w:lang w:eastAsia="zh-CN"/>
        </w:rPr>
      </w:pPr>
      <w:r>
        <w:rPr>
          <w:rFonts w:hint="eastAsia" w:ascii="黑体" w:hAnsi="黑体" w:eastAsia="黑体" w:cs="黑体"/>
          <w:lang w:eastAsia="zh-CN"/>
        </w:rPr>
        <w:t>四、加强轮换计划管理</w:t>
      </w:r>
    </w:p>
    <w:p>
      <w:pPr>
        <w:spacing w:line="600" w:lineRule="exact"/>
        <w:ind w:left="0" w:leftChars="0" w:firstLine="640" w:firstLineChars="200"/>
        <w:rPr>
          <w:rFonts w:hint="default"/>
          <w:lang w:val="en-US" w:eastAsia="zh-CN"/>
        </w:rPr>
      </w:pPr>
      <w:r>
        <w:rPr>
          <w:rFonts w:hint="eastAsia"/>
          <w:lang w:eastAsia="zh-CN"/>
        </w:rPr>
        <w:t>地方储备粮实行计划管理，原则上均衡轮换。各地要结合实际，对地方储备粮轮换工作进行总体安排，及时下达年度轮换计划，根据组织实施情况适时灵活调整。承储企业（含代储企业，下同）应根据有关部门对轮换工作的安排和下达的年度轮换计划，科学合理制定轮换方案，有序开展轮换。地方储备粮轮换应统筹兼顾实物库存充足的要求，除应急动用情况外，原则上应确保地方储备粮各月末实物库存不低于储备规模的</w:t>
      </w:r>
      <w:r>
        <w:rPr>
          <w:rFonts w:hint="eastAsia"/>
          <w:lang w:val="en-US" w:eastAsia="zh-CN"/>
        </w:rPr>
        <w:t>70%。各地可结合实际，在此基础上进行具体规定。</w:t>
      </w:r>
    </w:p>
    <w:p>
      <w:pPr>
        <w:spacing w:line="600" w:lineRule="exact"/>
        <w:ind w:left="0" w:leftChars="0" w:firstLine="640" w:firstLineChars="200"/>
        <w:rPr>
          <w:rFonts w:hint="eastAsia" w:ascii="黑体" w:hAnsi="黑体" w:eastAsia="黑体" w:cs="黑体"/>
          <w:lang w:eastAsia="zh-CN"/>
        </w:rPr>
      </w:pPr>
      <w:r>
        <w:rPr>
          <w:rFonts w:hint="eastAsia" w:ascii="黑体" w:hAnsi="黑体" w:eastAsia="黑体" w:cs="黑体"/>
          <w:lang w:eastAsia="zh-CN"/>
        </w:rPr>
        <w:t>五、严格自主轮换管理</w:t>
      </w:r>
    </w:p>
    <w:p>
      <w:pPr>
        <w:spacing w:line="600" w:lineRule="exact"/>
        <w:ind w:left="0" w:leftChars="0" w:firstLine="640" w:firstLineChars="200"/>
        <w:rPr>
          <w:rFonts w:hint="eastAsia"/>
          <w:lang w:val="en-US" w:eastAsia="zh-CN"/>
        </w:rPr>
      </w:pPr>
      <w:r>
        <w:rPr>
          <w:rFonts w:hint="eastAsia"/>
          <w:lang w:eastAsia="zh-CN"/>
        </w:rPr>
        <w:t>地方储备粮采取自主轮换方式的，要严格相关承储企业准入管理，加强承储企业的信用、资质条件等事前审核调查，加强事中事后监管。</w:t>
      </w:r>
      <w:r>
        <w:rPr>
          <w:rFonts w:hint="eastAsia"/>
          <w:lang w:val="en-US" w:eastAsia="zh-CN"/>
        </w:rPr>
        <w:t>自主轮换</w:t>
      </w:r>
      <w:r>
        <w:rPr>
          <w:rFonts w:hint="eastAsia"/>
          <w:lang w:eastAsia="zh-CN"/>
        </w:rPr>
        <w:t>储备计划要与承储企业的经营能力相适应，并严格实行专仓储存、专账记载，采取轮换报备、视频监控、实时在线监测等方式，切实加强自主轮换储备在库管理，掌握出入库情况。各地</w:t>
      </w:r>
      <w:r>
        <w:rPr>
          <w:rFonts w:hint="eastAsia"/>
          <w:lang w:val="en-US" w:eastAsia="zh-CN"/>
        </w:rPr>
        <w:t>应结合当地粮食市场、承储企业条件等因素，科学合理确定自主轮换储备日常最低实物库存量标准，</w:t>
      </w:r>
      <w:r>
        <w:rPr>
          <w:rFonts w:hint="eastAsia"/>
          <w:lang w:eastAsia="zh-CN"/>
        </w:rPr>
        <w:t>原则上</w:t>
      </w:r>
      <w:r>
        <w:rPr>
          <w:rFonts w:hint="eastAsia"/>
          <w:lang w:val="en-US" w:eastAsia="zh-CN"/>
        </w:rPr>
        <w:t>任何时点承储企业自主轮换储备实物库存不低于承储计划的75%，成品粮油自主轮换储备任何时点实物库存不低于承储计划的90%。</w:t>
      </w:r>
    </w:p>
    <w:p>
      <w:pPr>
        <w:spacing w:line="600" w:lineRule="exact"/>
        <w:ind w:left="0" w:leftChars="0" w:firstLine="640" w:firstLineChars="200"/>
        <w:rPr>
          <w:rFonts w:hint="eastAsia" w:ascii="黑体" w:hAnsi="黑体" w:eastAsia="黑体" w:cs="黑体"/>
          <w:lang w:eastAsia="zh-CN"/>
        </w:rPr>
      </w:pPr>
      <w:r>
        <w:rPr>
          <w:rFonts w:hint="eastAsia" w:ascii="黑体" w:hAnsi="黑体" w:eastAsia="黑体" w:cs="黑体"/>
          <w:lang w:eastAsia="zh-CN"/>
        </w:rPr>
        <w:t>六、合理把握轮换周期</w:t>
      </w:r>
    </w:p>
    <w:p>
      <w:pPr>
        <w:spacing w:line="600" w:lineRule="exact"/>
        <w:ind w:left="0" w:leftChars="0" w:firstLine="640" w:firstLineChars="200"/>
        <w:rPr>
          <w:rFonts w:hint="eastAsia"/>
          <w:lang w:eastAsia="zh-CN"/>
        </w:rPr>
      </w:pPr>
      <w:r>
        <w:rPr>
          <w:rFonts w:hint="eastAsia"/>
          <w:lang w:eastAsia="zh-CN"/>
        </w:rPr>
        <w:t>地方储备粮轮换安排以储存品质、储存年限为主要依据。常规储存条件下，各储备品种的储存年限（以生产时间计算），一般稻谷和玉米不超过</w:t>
      </w:r>
      <w:r>
        <w:rPr>
          <w:rFonts w:hint="eastAsia"/>
          <w:lang w:val="en-US" w:eastAsia="zh-CN"/>
        </w:rPr>
        <w:t>3年，小麦不超过5年，豆类及食用油脂不超过2年，成品粮油（含小包装）原则上不超过1年并应在保质期到期之前进行轮换。</w:t>
      </w:r>
      <w:r>
        <w:rPr>
          <w:rFonts w:hint="eastAsia"/>
          <w:lang w:eastAsia="zh-CN"/>
        </w:rPr>
        <w:t>各地要根据储备粮品质评价认定情况和储存年限，结合本地区仓储设施状况、储藏技术水平等，规范储存品质和储存年限管理，科学做出轮换安排。</w:t>
      </w:r>
      <w:r>
        <w:rPr>
          <w:rFonts w:hint="eastAsia"/>
          <w:lang w:val="en-US" w:eastAsia="zh-CN"/>
        </w:rPr>
        <w:t>要加强对在库粮食质量监控，对不符合储存要求的储备粮要按有关规定及时处理，确保在库粮食质量安全。轮入的储备粮的生产时间，原则上不得早于对应轮出的储备粮的生产时间。</w:t>
      </w:r>
    </w:p>
    <w:p>
      <w:pPr>
        <w:spacing w:line="600" w:lineRule="exact"/>
        <w:ind w:left="0" w:leftChars="0" w:firstLine="640" w:firstLineChars="200"/>
        <w:rPr>
          <w:rFonts w:hint="eastAsia" w:ascii="黑体" w:hAnsi="黑体" w:eastAsia="黑体" w:cs="黑体"/>
          <w:lang w:eastAsia="zh-CN"/>
        </w:rPr>
      </w:pPr>
      <w:r>
        <w:rPr>
          <w:rFonts w:hint="eastAsia" w:ascii="黑体" w:hAnsi="黑体" w:eastAsia="黑体" w:cs="黑体"/>
          <w:lang w:eastAsia="zh-CN"/>
        </w:rPr>
        <w:t>七、从严控制轮换架空期</w:t>
      </w:r>
    </w:p>
    <w:p>
      <w:pPr>
        <w:spacing w:line="600" w:lineRule="exact"/>
        <w:ind w:left="0" w:leftChars="0" w:firstLine="640" w:firstLineChars="200"/>
        <w:rPr>
          <w:rFonts w:hint="default"/>
          <w:lang w:val="en-US" w:eastAsia="zh-CN"/>
        </w:rPr>
      </w:pPr>
      <w:r>
        <w:rPr>
          <w:rFonts w:hint="eastAsia"/>
          <w:lang w:eastAsia="zh-CN"/>
        </w:rPr>
        <w:t>地方储备粮采取静态轮换方式的，轮换架空期原则上参照中央储备粮轮换架空期有关规定，正常不超过</w:t>
      </w:r>
      <w:r>
        <w:rPr>
          <w:rFonts w:hint="eastAsia"/>
          <w:lang w:val="en-US" w:eastAsia="zh-CN"/>
        </w:rPr>
        <w:t>4个月，承储企业不得擅自延长轮换架空期。如遇特殊情况，确需超过4个月轮换架空期的，承储企业应提前报相关主管部门批准延期。延长轮换架空期应从严控制，原则上最长不超过2个月。要严格利息费用补贴资金管理，中国农业发展银行在粤分支机构要及时收回没有储备库存对应的贷款，承储库点不能享受相应利息补贴。超过轮换架空期的承储库点不能享受相应财政保管费用补贴。对未经批准擅自超轮换架空期的，应按规定严肃处理。</w:t>
      </w:r>
    </w:p>
    <w:p>
      <w:pPr>
        <w:spacing w:line="600" w:lineRule="exact"/>
        <w:ind w:left="0" w:leftChars="0" w:firstLine="640" w:firstLineChars="200"/>
        <w:rPr>
          <w:rFonts w:hint="eastAsia" w:ascii="黑体" w:hAnsi="黑体" w:eastAsia="黑体" w:cs="黑体"/>
          <w:lang w:eastAsia="zh-CN"/>
        </w:rPr>
      </w:pPr>
      <w:r>
        <w:rPr>
          <w:rFonts w:hint="eastAsia" w:ascii="黑体" w:hAnsi="黑体" w:eastAsia="黑体" w:cs="黑体"/>
          <w:lang w:eastAsia="zh-CN"/>
        </w:rPr>
        <w:t>八、规范轮换操作</w:t>
      </w:r>
    </w:p>
    <w:p>
      <w:pPr>
        <w:spacing w:line="600" w:lineRule="exact"/>
        <w:ind w:left="0" w:leftChars="0" w:firstLine="640" w:firstLineChars="200"/>
        <w:rPr>
          <w:rFonts w:hint="default"/>
          <w:lang w:val="en-US" w:eastAsia="zh-CN"/>
        </w:rPr>
      </w:pPr>
      <w:r>
        <w:rPr>
          <w:rFonts w:hint="eastAsia"/>
          <w:lang w:eastAsia="zh-CN"/>
        </w:rPr>
        <w:t>要按照政府制定的有关规定，公开、公平、公正开展轮换。通过市场购销贸易进行轮换的，主要通过交易批发市场</w:t>
      </w:r>
      <w:r>
        <w:rPr>
          <w:rFonts w:hint="eastAsia"/>
          <w:highlight w:val="none"/>
          <w:lang w:eastAsia="zh-CN"/>
        </w:rPr>
        <w:t>以</w:t>
      </w:r>
      <w:r>
        <w:rPr>
          <w:rFonts w:hint="eastAsia"/>
          <w:lang w:eastAsia="zh-CN"/>
        </w:rPr>
        <w:t>及相关网上交易平台，采取公开竞价方式进行，也可采取邀标竞价、在线协商等方式进行交易。鼓励承储企业采取向农户直接收购的方式轮入地方储备粮。承储企业轮换地方储备粮直接用于自身加工的，各地要按照储备运营与商业经营严格分离的原则，结合实际明确可操作的账务、财务、实物处理程序，督促承储企业严格规范操作。轮换过程要做到全程留痕备查，相关凭证、资料至少保留</w:t>
      </w:r>
      <w:r>
        <w:rPr>
          <w:rFonts w:hint="eastAsia"/>
          <w:lang w:val="en-US" w:eastAsia="zh-CN"/>
        </w:rPr>
        <w:t>6年。</w:t>
      </w:r>
    </w:p>
    <w:p>
      <w:pPr>
        <w:spacing w:line="600" w:lineRule="exact"/>
        <w:ind w:left="0" w:leftChars="0" w:firstLine="640" w:firstLineChars="200"/>
        <w:rPr>
          <w:rFonts w:hint="eastAsia" w:ascii="黑体" w:hAnsi="黑体" w:eastAsia="黑体" w:cs="黑体"/>
          <w:lang w:val="en-US" w:eastAsia="zh-CN"/>
        </w:rPr>
      </w:pPr>
      <w:r>
        <w:rPr>
          <w:rFonts w:hint="eastAsia" w:ascii="黑体" w:hAnsi="黑体" w:eastAsia="黑体" w:cs="黑体"/>
          <w:lang w:val="en-US" w:eastAsia="zh-CN"/>
        </w:rPr>
        <w:t>九、加强轮换协同</w:t>
      </w:r>
    </w:p>
    <w:p>
      <w:pPr>
        <w:spacing w:line="600" w:lineRule="exact"/>
        <w:ind w:left="0" w:leftChars="0" w:firstLine="640" w:firstLineChars="200"/>
        <w:rPr>
          <w:rFonts w:hint="eastAsia"/>
          <w:lang w:val="en-US" w:eastAsia="zh-CN"/>
        </w:rPr>
      </w:pPr>
      <w:r>
        <w:rPr>
          <w:rFonts w:hint="eastAsia"/>
          <w:lang w:val="en-US" w:eastAsia="zh-CN"/>
        </w:rPr>
        <w:t>省粮食和储备局与中国储备粮集团有限公司广州分公司建立联席会议制度，各市粮食和储备部门要牵头建立健全区域内储备轮换联络机制，加强轮换等工作沟通，在轮换时机、节奏和价格等方面加强协同配合，有序开展储备粮轮入轮出。要采取措施，防止承储企业、承储库点恶意压级压价或抬级抬价，维护粮食市场稳定，保护粮食生产者、消费者利益。</w:t>
      </w:r>
    </w:p>
    <w:p>
      <w:pPr>
        <w:spacing w:line="600" w:lineRule="exact"/>
        <w:ind w:left="0" w:leftChars="0" w:firstLine="640" w:firstLineChars="200"/>
        <w:rPr>
          <w:rFonts w:hint="eastAsia" w:ascii="黑体" w:hAnsi="黑体" w:eastAsia="黑体" w:cs="黑体"/>
          <w:lang w:eastAsia="zh-CN"/>
        </w:rPr>
      </w:pPr>
      <w:r>
        <w:rPr>
          <w:rFonts w:hint="eastAsia" w:ascii="黑体" w:hAnsi="黑体" w:eastAsia="黑体" w:cs="黑体"/>
          <w:lang w:eastAsia="zh-CN"/>
        </w:rPr>
        <w:t>十、强化轮换监管</w:t>
      </w:r>
    </w:p>
    <w:p>
      <w:pPr>
        <w:spacing w:line="600" w:lineRule="exact"/>
        <w:ind w:left="0" w:leftChars="0" w:firstLine="640" w:firstLineChars="200"/>
        <w:rPr>
          <w:rFonts w:hint="default"/>
          <w:lang w:val="en-US" w:eastAsia="zh-CN"/>
        </w:rPr>
      </w:pPr>
      <w:r>
        <w:rPr>
          <w:rFonts w:hint="eastAsia"/>
          <w:lang w:eastAsia="zh-CN"/>
        </w:rPr>
        <w:t>各地要按照国家对政府储备管理相关要求，以及地方储备粮管理相关规定，进一步强化对地方储备粮轮换行为的监管，</w:t>
      </w:r>
      <w:r>
        <w:rPr>
          <w:rFonts w:hint="eastAsia"/>
          <w:lang w:val="en-US" w:eastAsia="zh-CN"/>
        </w:rPr>
        <w:t>加强</w:t>
      </w:r>
      <w:r>
        <w:rPr>
          <w:rFonts w:hint="eastAsia"/>
          <w:lang w:eastAsia="zh-CN"/>
        </w:rPr>
        <w:t>对自主轮换、</w:t>
      </w:r>
      <w:r>
        <w:rPr>
          <w:rFonts w:hint="eastAsia"/>
          <w:lang w:val="en-US" w:eastAsia="zh-CN"/>
        </w:rPr>
        <w:t>异地储备</w:t>
      </w:r>
      <w:r>
        <w:rPr>
          <w:rFonts w:hint="eastAsia"/>
          <w:lang w:eastAsia="zh-CN"/>
        </w:rPr>
        <w:t>等</w:t>
      </w:r>
      <w:r>
        <w:rPr>
          <w:rFonts w:hint="eastAsia"/>
          <w:lang w:val="en-US" w:eastAsia="zh-CN"/>
        </w:rPr>
        <w:t>新形式</w:t>
      </w:r>
      <w:r>
        <w:rPr>
          <w:rFonts w:hint="eastAsia"/>
          <w:lang w:eastAsia="zh-CN"/>
        </w:rPr>
        <w:t>监管方法</w:t>
      </w:r>
      <w:r>
        <w:rPr>
          <w:rFonts w:hint="eastAsia"/>
          <w:lang w:val="en-US" w:eastAsia="zh-CN"/>
        </w:rPr>
        <w:t>的研究</w:t>
      </w:r>
      <w:r>
        <w:rPr>
          <w:rFonts w:hint="eastAsia"/>
          <w:lang w:eastAsia="zh-CN"/>
        </w:rPr>
        <w:t>，</w:t>
      </w:r>
      <w:r>
        <w:rPr>
          <w:rFonts w:hint="eastAsia"/>
          <w:lang w:val="en-US" w:eastAsia="zh-CN"/>
        </w:rPr>
        <w:t>建立完善信用监管、信息化监管等新机制，</w:t>
      </w:r>
      <w:r>
        <w:rPr>
          <w:rFonts w:hint="eastAsia"/>
          <w:lang w:eastAsia="zh-CN"/>
        </w:rPr>
        <w:t>确保地方储备粮安全。要督促承储企业建立地方储备粮轮换台帐，准确、及时反映储备粮轮入、轮出情况。要建立健全地方储备粮轮换出库质量检验制度，严禁不符合食品安全要求的粮食流入口粮市场和食品生产企业。</w:t>
      </w:r>
    </w:p>
    <w:p>
      <w:pPr>
        <w:spacing w:line="600" w:lineRule="exact"/>
        <w:ind w:left="0" w:leftChars="0" w:firstLine="640" w:firstLineChars="200"/>
        <w:rPr>
          <w:rFonts w:hint="eastAsia" w:ascii="黑体" w:hAnsi="黑体" w:eastAsia="黑体" w:cs="黑体"/>
          <w:lang w:eastAsia="zh-CN"/>
        </w:rPr>
      </w:pPr>
      <w:r>
        <w:rPr>
          <w:rFonts w:hint="eastAsia" w:ascii="黑体" w:hAnsi="黑体" w:eastAsia="黑体" w:cs="黑体"/>
          <w:lang w:eastAsia="zh-CN"/>
        </w:rPr>
        <w:t>十一、完善轮换管理制度</w:t>
      </w:r>
    </w:p>
    <w:p>
      <w:pPr>
        <w:spacing w:line="600" w:lineRule="exact"/>
        <w:ind w:left="0" w:leftChars="0" w:firstLine="640" w:firstLineChars="200"/>
        <w:rPr>
          <w:rFonts w:hint="default"/>
          <w:lang w:val="en-US" w:eastAsia="zh-CN"/>
        </w:rPr>
      </w:pPr>
      <w:r>
        <w:rPr>
          <w:rFonts w:hint="eastAsia"/>
          <w:lang w:eastAsia="zh-CN"/>
        </w:rPr>
        <w:t>各地要进一步完善地方储备粮轮换管理规章制度，及时修订不适应形势发展要求的规定。要细化管理规定，对地方储备粮轮换的相关程序、数量质量标准、管理部门与承储企业权责、管理要求等进行明确界定，实现地方储备粮管理的制度化、规范化。</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Pf6E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l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BPf6Em4AQAAUAMAAA4AAAAAAAAAAQAgAAAAHwEAAGRycy9lMm9Eb2MueG1sUEsFBgAAAAAGAAYA&#10;WQEAAEkFAAAAAA==&#10;">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AB6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2"/>
    <w:basedOn w:val="1"/>
    <w:next w:val="1"/>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5">
    <w:name w:val="Default Paragraph Font"/>
    <w:qFormat/>
    <w:uiPriority w:val="0"/>
  </w:style>
  <w:style w:type="table" w:default="1" w:styleId="6">
    <w:name w:val="Normal Table"/>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2445</Words>
  <Characters>2457</Characters>
  <Paragraphs>33</Paragraphs>
  <TotalTime>26</TotalTime>
  <ScaleCrop>false</ScaleCrop>
  <LinksUpToDate>false</LinksUpToDate>
  <CharactersWithSpaces>2457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2020-04-15T02:17:00Z</dcterms:created>
  <dc:creator>吴少宇</dc:creator>
  <cp:lastModifiedBy>a</cp:lastModifiedBy>
  <dcterms:modified xsi:type="dcterms:W3CDTF">2020-08-20T01:05:09Z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073g4zdlfqajk90mrjbt89</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lpwstr>141973</vt:lpwstr>
  </property>
  <property fmtid="{D5CDD505-2E9C-101B-9397-08002B2CF9AE}" pid="9" name="cp_itemType">
    <vt:lpwstr>missive</vt:lpwstr>
  </property>
  <property fmtid="{D5CDD505-2E9C-101B-9397-08002B2CF9AE}" pid="10" name="cp_title">
    <vt:lpwstr>关于《关于进一步加强地方储备粮轮换管理的通知》公开征求意见的公告</vt:lpwstr>
  </property>
  <property fmtid="{D5CDD505-2E9C-101B-9397-08002B2CF9AE}" pid="11" name="hideWpsMarks">
    <vt:i4>0</vt:i4>
  </property>
  <property fmtid="{D5CDD505-2E9C-101B-9397-08002B2CF9AE}" pid="12" name="openType">
    <vt:lpwstr>1</vt:lpwstr>
  </property>
  <property fmtid="{D5CDD505-2E9C-101B-9397-08002B2CF9AE}" pid="13" name="openFlag">
    <vt:bool>true</vt:bool>
  </property>
  <property fmtid="{D5CDD505-2E9C-101B-9397-08002B2CF9AE}" pid="14" name="showFlag">
    <vt:bool>true</vt:bool>
  </property>
  <property fmtid="{D5CDD505-2E9C-101B-9397-08002B2CF9AE}" pid="15" name="showButton">
    <vt:lpwstr>WPSExtOfficeTab;btnShowRevision;btnUploadOA</vt:lpwstr>
  </property>
  <property fmtid="{D5CDD505-2E9C-101B-9397-08002B2CF9AE}" pid="16" name="uploadPath">
    <vt:lpwstr>http://xtbgsafe.gdzwfw.gov.cn/szoa/instance-web/minstone/wfDocBody/saveFileBody?flowInid=141973&amp;stepInco=2242781&amp;dealIndx=0&amp;flowId=139&amp;stepCode=119&amp;readOnly=0&amp;curUserCode=13924028421&amp;sysCode=MD_LSJ_OA&amp;r=0.7193405687857239&amp;tenantCode=GDSXXZX&amp;fileCode=o_1eg31anbgihe1qud1a2rd3i8r87&amp;id=o_1eg31anbgihe1qud1a2rd3i8r87&amp;attachUuid=0c27dc227b644410bbdc01daee9901eb&amp;r=0.3416642399226888&amp;userUuid=53ca7ff412414511acc1a51bfdc754a4</vt:lpwstr>
  </property>
  <property fmtid="{D5CDD505-2E9C-101B-9397-08002B2CF9AE}" pid="17" name="urlParams">
    <vt:lpwstr>flowInid=141973&amp;stepInco=2242781&amp;dealIndx=0&amp;flowId=139&amp;stepCode=119&amp;readOnly=0&amp;curUserCode=13924028421&amp;sysCode=MD_LSJ_OA&amp;r=0.7193405687857239&amp;tenantCode=GDSXXZX&amp;fileCode=o_1eg31anbgihe1qud1a2rd3i8r87&amp;id=o_1eg31anbgihe1qud1a2rd3i8r87&amp;attachUuid=0c27dc227b644410bbdc01daee9901eb&amp;r=0.3416642399226888&amp;userUuid=53ca7ff412414511acc1a51bfdc754a4</vt:lpwstr>
  </property>
  <property fmtid="{D5CDD505-2E9C-101B-9397-08002B2CF9AE}" pid="18" name="lockDocUrl">
    <vt:lpwstr>http://xtbgsafe.gdzwfw.gov.cn/szoa/instance-web/minstone/wfDocBody/getLockInfo?flowInid=141973&amp;stepInco=2242781&amp;dealIndx=0&amp;flowId=139&amp;stepCode=119&amp;readOnly=0&amp;curUserCode=13924028421&amp;sysCode=MD_LSJ_OA&amp;r=0.7193405687857239&amp;tenantCode=GDSXXZX&amp;fileCode=o_1eg31anbgihe1qud1a2rd3i8r87&amp;id=o_1eg31anbgihe1qud1a2rd3i8r87&amp;attachUuid=0c27dc227b644410bbdc01daee9901eb&amp;r=0.3416642399226888&amp;userUuid=53ca7ff412414511acc1a51bfdc754a4</vt:lpwstr>
  </property>
  <property fmtid="{D5CDD505-2E9C-101B-9397-08002B2CF9AE}" pid="19" name="copyUrl">
    <vt:lpwstr>http://xtbgsafe.gdzwfw.gov.cn/szoa/instance-web/minstone/wfDocBody/copyDoc?flowInid=141973&amp;stepInco=2242781&amp;dealIndx=0&amp;flowId=139&amp;stepCode=119&amp;readOnly=0&amp;curUserCode=13924028421&amp;sysCode=MD_LSJ_OA&amp;r=0.7193405687857239&amp;tenantCode=GDSXXZX&amp;fileCode=o_1eg31anbgihe1qud1a2rd3i8r87&amp;id=o_1eg31anbgihe1qud1a2rd3i8r87&amp;attachUuid=0c27dc227b644410bbdc01daee9901eb&amp;r=0.3416642399226888&amp;userUuid=53ca7ff412414511acc1a51bfdc754a4</vt:lpwstr>
  </property>
  <property fmtid="{D5CDD505-2E9C-101B-9397-08002B2CF9AE}" pid="20" name="unLockDocurl">
    <vt:lpwstr>http://xtbgsafe.gdzwfw.gov.cn/szoa/instance-web/minstone/wfDocBody/unLockDoc?flowInid=141973&amp;stepInco=2242781&amp;dealIndx=0&amp;flowId=139&amp;stepCode=119&amp;readOnly=0&amp;curUserCode=13924028421&amp;sysCode=MD_LSJ_OA&amp;r=0.7193405687857239&amp;tenantCode=GDSXXZX&amp;fileCode=o_1eg31anbgihe1qud1a2rd3i8r87&amp;id=o_1eg31anbgihe1qud1a2rd3i8r87&amp;attachUuid=0c27dc227b644410bbdc01daee9901eb&amp;r=0.3416642399226888&amp;userUuid=53ca7ff412414511acc1a51bfdc754a4</vt:lpwstr>
  </property>
  <property fmtid="{D5CDD505-2E9C-101B-9397-08002B2CF9AE}" pid="21" name="showSavePromptFlag">
    <vt:lpwstr>true</vt:lpwstr>
  </property>
  <property fmtid="{D5CDD505-2E9C-101B-9397-08002B2CF9AE}" pid="22" name="ribbonExt">
    <vt:lpwstr>{"WPSExtOfficeTab":{"OnGetEnabled":false,"OnGetVisible":false}}</vt:lpwstr>
  </property>
</Properties>
</file>