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
          <w:tab w:val="left" w:pos="720"/>
          <w:tab w:val="left" w:pos="900"/>
        </w:tabs>
        <w:spacing w:line="540" w:lineRule="exact"/>
        <w:rPr>
          <w:rFonts w:hint="eastAsia" w:ascii="Times New Roman" w:hAnsi="Times New Roman" w:eastAsia="仿宋" w:cs="仿宋"/>
          <w:color w:val="000000"/>
          <w:kern w:val="0"/>
          <w:sz w:val="32"/>
          <w:szCs w:val="32"/>
          <w:lang w:val="en-US"/>
        </w:rPr>
      </w:pPr>
      <w:r>
        <w:rPr>
          <w:rFonts w:hint="eastAsia" w:ascii="Times New Roman" w:hAnsi="Times New Roman" w:eastAsia="黑体" w:cs="黑体"/>
          <w:color w:val="000000"/>
          <w:kern w:val="0"/>
          <w:sz w:val="32"/>
          <w:szCs w:val="32"/>
        </w:rPr>
        <w:t>附件</w:t>
      </w:r>
    </w:p>
    <w:p>
      <w:pPr>
        <w:widowControl/>
        <w:spacing w:line="540" w:lineRule="exact"/>
        <w:jc w:val="both"/>
        <w:rPr>
          <w:rStyle w:val="9"/>
          <w:rFonts w:hint="eastAsia" w:ascii="Times New Roman" w:hAnsi="Times New Roman" w:eastAsia="方正小标宋简体" w:cs="方正小标宋简体"/>
          <w:color w:val="000000"/>
          <w:sz w:val="44"/>
          <w:szCs w:val="44"/>
          <w:lang w:val="en-US"/>
        </w:rPr>
      </w:pPr>
    </w:p>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Style w:val="9"/>
          <w:rFonts w:ascii="Times New Roman" w:hAnsi="Times New Roman" w:eastAsia="方正小标宋简体" w:cs="方正小标宋简体"/>
          <w:color w:val="000000"/>
          <w:sz w:val="44"/>
          <w:szCs w:val="44"/>
        </w:rPr>
      </w:pPr>
      <w:r>
        <w:rPr>
          <w:rStyle w:val="9"/>
          <w:rFonts w:hint="eastAsia" w:ascii="Times New Roman" w:hAnsi="Times New Roman" w:eastAsia="方正小标宋简体" w:cs="方正小标宋简体"/>
          <w:color w:val="000000"/>
          <w:sz w:val="44"/>
          <w:szCs w:val="44"/>
        </w:rPr>
        <w:t>广东省市场监督管理局产品</w:t>
      </w:r>
      <w:r>
        <w:rPr>
          <w:rStyle w:val="9"/>
          <w:rFonts w:ascii="Times New Roman" w:hAnsi="Times New Roman" w:eastAsia="方正小标宋简体" w:cs="方正小标宋简体"/>
          <w:color w:val="000000"/>
          <w:sz w:val="44"/>
          <w:szCs w:val="44"/>
        </w:rPr>
        <w:t>质量</w:t>
      </w:r>
    </w:p>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Style w:val="9"/>
          <w:rFonts w:ascii="Times New Roman" w:hAnsi="Times New Roman" w:eastAsia="方正小标宋简体" w:cs="方正小标宋简体"/>
          <w:color w:val="000000"/>
          <w:sz w:val="44"/>
          <w:szCs w:val="44"/>
        </w:rPr>
      </w:pPr>
      <w:bookmarkStart w:id="0" w:name="_GoBack"/>
      <w:bookmarkEnd w:id="0"/>
      <w:r>
        <w:rPr>
          <w:rStyle w:val="9"/>
          <w:rFonts w:ascii="Times New Roman" w:hAnsi="Times New Roman" w:eastAsia="方正小标宋简体" w:cs="方正小标宋简体"/>
          <w:color w:val="000000"/>
          <w:sz w:val="44"/>
          <w:szCs w:val="44"/>
        </w:rPr>
        <w:t>信用</w:t>
      </w:r>
      <w:r>
        <w:rPr>
          <w:rStyle w:val="9"/>
          <w:rFonts w:hint="eastAsia" w:ascii="Times New Roman" w:hAnsi="Times New Roman" w:eastAsia="方正小标宋简体" w:cs="方正小标宋简体"/>
          <w:color w:val="000000"/>
          <w:sz w:val="44"/>
          <w:szCs w:val="44"/>
        </w:rPr>
        <w:t>分类监管规范</w:t>
      </w:r>
    </w:p>
    <w:p>
      <w:pPr>
        <w:keepNext w:val="0"/>
        <w:keepLines w:val="0"/>
        <w:pageBreakBefore w:val="0"/>
        <w:tabs>
          <w:tab w:val="left" w:pos="540"/>
          <w:tab w:val="left" w:pos="720"/>
          <w:tab w:val="left" w:pos="900"/>
        </w:tabs>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Times New Roman" w:hAnsi="Times New Roman" w:eastAsia="仿宋" w:cs="仿宋"/>
          <w:color w:val="000000"/>
          <w:kern w:val="0"/>
          <w:sz w:val="32"/>
          <w:szCs w:val="32"/>
        </w:rPr>
      </w:pPr>
      <w:r>
        <w:rPr>
          <w:rFonts w:hint="eastAsia" w:ascii="Times New Roman" w:hAnsi="Times New Roman" w:eastAsia="楷体_GB2312" w:cs="楷体_GB2312"/>
          <w:color w:val="000000"/>
          <w:kern w:val="0"/>
          <w:sz w:val="32"/>
          <w:szCs w:val="32"/>
        </w:rPr>
        <w:t>（</w:t>
      </w:r>
      <w:r>
        <w:rPr>
          <w:rFonts w:hint="eastAsia" w:ascii="Times New Roman" w:hAnsi="Times New Roman" w:eastAsia="楷体_GB2312" w:cs="楷体_GB2312"/>
          <w:color w:val="000000"/>
          <w:kern w:val="0"/>
          <w:sz w:val="32"/>
          <w:szCs w:val="32"/>
          <w:lang w:eastAsia="zh-CN"/>
        </w:rPr>
        <w:t>征求意见稿</w:t>
      </w:r>
      <w:r>
        <w:rPr>
          <w:rFonts w:hint="eastAsia" w:ascii="Times New Roman" w:hAnsi="Times New Roman" w:eastAsia="楷体_GB2312" w:cs="楷体_GB2312"/>
          <w:color w:val="000000"/>
          <w:kern w:val="0"/>
          <w:sz w:val="32"/>
          <w:szCs w:val="32"/>
        </w:rPr>
        <w:t>）</w:t>
      </w:r>
    </w:p>
    <w:p>
      <w:pPr>
        <w:tabs>
          <w:tab w:val="left" w:pos="540"/>
          <w:tab w:val="left" w:pos="720"/>
          <w:tab w:val="left" w:pos="900"/>
        </w:tabs>
        <w:spacing w:line="540" w:lineRule="exact"/>
        <w:jc w:val="center"/>
        <w:rPr>
          <w:rFonts w:hint="eastAsia" w:ascii="Times New Roman" w:hAnsi="Times New Roman" w:eastAsia="仿宋" w:cs="仿宋"/>
          <w:color w:val="000000"/>
          <w:kern w:val="0"/>
          <w:sz w:val="32"/>
          <w:szCs w:val="32"/>
        </w:rPr>
      </w:pPr>
    </w:p>
    <w:p>
      <w:pPr>
        <w:tabs>
          <w:tab w:val="left" w:pos="540"/>
          <w:tab w:val="left" w:pos="720"/>
          <w:tab w:val="left" w:pos="900"/>
        </w:tabs>
        <w:spacing w:line="540" w:lineRule="exact"/>
        <w:jc w:val="center"/>
        <w:rPr>
          <w:rFonts w:hint="eastAsia" w:ascii="Times New Roman" w:hAnsi="Times New Roman" w:eastAsia="黑体" w:cs="黑体"/>
          <w:snapToGrid w:val="0"/>
          <w:color w:val="000000"/>
          <w:spacing w:val="-2"/>
          <w:kern w:val="0"/>
          <w:sz w:val="32"/>
          <w:szCs w:val="32"/>
        </w:rPr>
      </w:pPr>
      <w:r>
        <w:rPr>
          <w:rFonts w:hint="eastAsia" w:ascii="Times New Roman" w:hAnsi="Times New Roman" w:eastAsia="黑体" w:cs="黑体"/>
          <w:snapToGrid w:val="0"/>
          <w:color w:val="000000"/>
          <w:spacing w:val="-2"/>
          <w:kern w:val="0"/>
          <w:sz w:val="32"/>
          <w:szCs w:val="32"/>
        </w:rPr>
        <w:t xml:space="preserve">第一章  总 </w:t>
      </w:r>
      <w:r>
        <w:rPr>
          <w:rFonts w:hint="eastAsia" w:ascii="Times New Roman" w:hAnsi="Times New Roman" w:eastAsia="黑体" w:cs="黑体"/>
          <w:snapToGrid w:val="0"/>
          <w:color w:val="000000"/>
          <w:spacing w:val="-2"/>
          <w:kern w:val="0"/>
          <w:sz w:val="32"/>
          <w:szCs w:val="32"/>
          <w:lang w:val="en-US" w:eastAsia="zh-CN"/>
        </w:rPr>
        <w:t xml:space="preserve"> </w:t>
      </w:r>
      <w:r>
        <w:rPr>
          <w:rFonts w:hint="eastAsia" w:ascii="Times New Roman" w:hAnsi="Times New Roman" w:eastAsia="黑体" w:cs="黑体"/>
          <w:snapToGrid w:val="0"/>
          <w:color w:val="000000"/>
          <w:spacing w:val="-2"/>
          <w:kern w:val="0"/>
          <w:sz w:val="32"/>
          <w:szCs w:val="32"/>
        </w:rPr>
        <w:t>则</w:t>
      </w:r>
    </w:p>
    <w:p>
      <w:pPr>
        <w:tabs>
          <w:tab w:val="left" w:pos="540"/>
          <w:tab w:val="left" w:pos="720"/>
          <w:tab w:val="left" w:pos="900"/>
        </w:tabs>
        <w:spacing w:line="540" w:lineRule="exact"/>
        <w:jc w:val="center"/>
        <w:rPr>
          <w:rFonts w:hint="eastAsia" w:ascii="Times New Roman" w:hAnsi="Times New Roman" w:eastAsia="仿宋" w:cs="仿宋"/>
          <w:snapToGrid w:val="0"/>
          <w:color w:val="000000"/>
          <w:spacing w:val="-2"/>
          <w:kern w:val="0"/>
          <w:sz w:val="32"/>
          <w:szCs w:val="32"/>
        </w:rPr>
      </w:pPr>
    </w:p>
    <w:p>
      <w:pPr>
        <w:keepNext w:val="0"/>
        <w:keepLines w:val="0"/>
        <w:pageBreakBefore w:val="0"/>
        <w:tabs>
          <w:tab w:val="left" w:pos="540"/>
          <w:tab w:val="left" w:pos="720"/>
          <w:tab w:val="left" w:pos="900"/>
        </w:tabs>
        <w:kinsoku/>
        <w:wordWrap/>
        <w:overflowPunct/>
        <w:topLinePunct w:val="0"/>
        <w:autoSpaceDE/>
        <w:autoSpaceDN/>
        <w:bidi w:val="0"/>
        <w:adjustRightInd/>
        <w:snapToGrid/>
        <w:spacing w:line="590" w:lineRule="exact"/>
        <w:ind w:left="0" w:leftChars="0" w:right="0" w:rightChars="0" w:firstLine="666" w:firstLineChars="200"/>
        <w:textAlignment w:val="auto"/>
        <w:outlineLvl w:val="9"/>
        <w:rPr>
          <w:rFonts w:hint="eastAsia" w:ascii="Times New Roman" w:hAnsi="Times New Roman" w:eastAsia="仿宋" w:cs="仿宋"/>
          <w:snapToGrid w:val="0"/>
          <w:color w:val="000000"/>
          <w:spacing w:val="-2"/>
          <w:kern w:val="0"/>
          <w:sz w:val="32"/>
          <w:szCs w:val="32"/>
        </w:rPr>
      </w:pPr>
      <w:r>
        <w:rPr>
          <w:rFonts w:hint="eastAsia" w:ascii="Times New Roman" w:hAnsi="Times New Roman" w:eastAsia="仿宋" w:cs="仿宋"/>
          <w:b/>
          <w:snapToGrid w:val="0"/>
          <w:color w:val="000000"/>
          <w:spacing w:val="-2"/>
          <w:kern w:val="0"/>
          <w:sz w:val="32"/>
          <w:szCs w:val="32"/>
        </w:rPr>
        <w:t>第一条</w:t>
      </w:r>
      <w:r>
        <w:rPr>
          <w:rFonts w:hint="eastAsia" w:ascii="Times New Roman" w:hAnsi="Times New Roman" w:eastAsia="仿宋" w:cs="仿宋"/>
          <w:b/>
          <w:snapToGrid w:val="0"/>
          <w:color w:val="000000"/>
          <w:spacing w:val="-2"/>
          <w:kern w:val="0"/>
          <w:sz w:val="32"/>
          <w:szCs w:val="32"/>
          <w:lang w:val="en-US" w:eastAsia="zh-CN"/>
        </w:rPr>
        <w:t xml:space="preserve">  </w:t>
      </w:r>
      <w:r>
        <w:rPr>
          <w:rFonts w:hint="eastAsia" w:ascii="Times New Roman" w:hAnsi="Times New Roman" w:eastAsia="仿宋" w:cs="仿宋"/>
          <w:b/>
          <w:snapToGrid w:val="0"/>
          <w:color w:val="000000"/>
          <w:spacing w:val="-2"/>
          <w:kern w:val="0"/>
          <w:sz w:val="32"/>
          <w:szCs w:val="32"/>
        </w:rPr>
        <w:t>【制定目的及依据】</w:t>
      </w:r>
      <w:r>
        <w:rPr>
          <w:rFonts w:hint="eastAsia" w:ascii="Times New Roman" w:hAnsi="Times New Roman" w:eastAsia="仿宋" w:cs="仿宋"/>
          <w:snapToGrid w:val="0"/>
          <w:color w:val="000000"/>
          <w:spacing w:val="-2"/>
          <w:kern w:val="0"/>
          <w:sz w:val="32"/>
          <w:szCs w:val="32"/>
        </w:rPr>
        <w:t>为进一步提高产品质量监管效能，督促经营者落实产品质量安全主体责任，根据《中华人民共和国产品质量法》《中华人民共和国消费者权益保护法》《产品质量监督抽查管理暂行办法》</w:t>
      </w:r>
      <w:r>
        <w:rPr>
          <w:rFonts w:hint="eastAsia" w:ascii="Times New Roman" w:hAnsi="Times New Roman" w:eastAsia="仿宋" w:cs="仿宋"/>
          <w:color w:val="000000"/>
          <w:kern w:val="0"/>
          <w:sz w:val="32"/>
          <w:szCs w:val="32"/>
        </w:rPr>
        <w:t>等有关法律、法规和规章</w:t>
      </w:r>
      <w:r>
        <w:rPr>
          <w:rFonts w:hint="eastAsia" w:ascii="Times New Roman" w:hAnsi="Times New Roman" w:eastAsia="仿宋" w:cs="仿宋"/>
          <w:snapToGrid w:val="0"/>
          <w:color w:val="000000"/>
          <w:spacing w:val="-2"/>
          <w:kern w:val="0"/>
          <w:sz w:val="32"/>
          <w:szCs w:val="32"/>
        </w:rPr>
        <w:t>，制定本</w:t>
      </w:r>
      <w:r>
        <w:rPr>
          <w:rFonts w:hint="eastAsia" w:ascii="Times New Roman" w:hAnsi="Times New Roman" w:eastAsia="仿宋" w:cs="仿宋"/>
          <w:color w:val="000000"/>
          <w:kern w:val="0"/>
          <w:sz w:val="32"/>
          <w:szCs w:val="32"/>
        </w:rPr>
        <w:t>规范。</w:t>
      </w:r>
    </w:p>
    <w:p>
      <w:pPr>
        <w:keepNext w:val="0"/>
        <w:keepLines w:val="0"/>
        <w:pageBreakBefore w:val="0"/>
        <w:tabs>
          <w:tab w:val="left" w:pos="540"/>
          <w:tab w:val="left" w:pos="720"/>
          <w:tab w:val="left" w:pos="900"/>
        </w:tabs>
        <w:kinsoku/>
        <w:wordWrap/>
        <w:overflowPunct/>
        <w:topLinePunct w:val="0"/>
        <w:autoSpaceDE/>
        <w:autoSpaceDN/>
        <w:bidi w:val="0"/>
        <w:adjustRightInd/>
        <w:snapToGrid/>
        <w:spacing w:line="590" w:lineRule="exact"/>
        <w:ind w:left="0" w:leftChars="0" w:right="0" w:rightChars="0" w:firstLine="666" w:firstLineChars="200"/>
        <w:textAlignment w:val="auto"/>
        <w:outlineLvl w:val="9"/>
        <w:rPr>
          <w:rFonts w:hint="eastAsia" w:ascii="Times New Roman" w:hAnsi="Times New Roman" w:eastAsia="仿宋" w:cs="仿宋"/>
          <w:snapToGrid w:val="0"/>
          <w:color w:val="000000"/>
          <w:spacing w:val="-2"/>
          <w:kern w:val="0"/>
          <w:sz w:val="32"/>
          <w:szCs w:val="32"/>
        </w:rPr>
      </w:pPr>
      <w:r>
        <w:rPr>
          <w:rFonts w:hint="eastAsia" w:ascii="Times New Roman" w:hAnsi="Times New Roman" w:eastAsia="仿宋" w:cs="仿宋"/>
          <w:b/>
          <w:snapToGrid w:val="0"/>
          <w:color w:val="000000"/>
          <w:spacing w:val="-2"/>
          <w:kern w:val="0"/>
          <w:sz w:val="32"/>
          <w:szCs w:val="32"/>
        </w:rPr>
        <w:t>第二条</w:t>
      </w:r>
      <w:r>
        <w:rPr>
          <w:rFonts w:hint="eastAsia" w:ascii="Times New Roman" w:hAnsi="Times New Roman" w:eastAsia="仿宋" w:cs="仿宋"/>
          <w:b/>
          <w:snapToGrid w:val="0"/>
          <w:color w:val="000000"/>
          <w:spacing w:val="-2"/>
          <w:kern w:val="0"/>
          <w:sz w:val="32"/>
          <w:szCs w:val="32"/>
          <w:lang w:val="en-US" w:eastAsia="zh-CN"/>
        </w:rPr>
        <w:t xml:space="preserve">  </w:t>
      </w:r>
      <w:r>
        <w:rPr>
          <w:rFonts w:hint="eastAsia" w:ascii="Times New Roman" w:hAnsi="Times New Roman" w:eastAsia="仿宋" w:cs="仿宋"/>
          <w:b/>
          <w:snapToGrid w:val="0"/>
          <w:color w:val="000000"/>
          <w:spacing w:val="-2"/>
          <w:kern w:val="0"/>
          <w:sz w:val="32"/>
          <w:szCs w:val="32"/>
        </w:rPr>
        <w:t>【适用范围】</w:t>
      </w:r>
      <w:r>
        <w:rPr>
          <w:rFonts w:hint="eastAsia" w:ascii="Times New Roman" w:hAnsi="Times New Roman" w:eastAsia="仿宋" w:cs="仿宋"/>
          <w:snapToGrid w:val="0"/>
          <w:color w:val="000000"/>
          <w:spacing w:val="-2"/>
          <w:kern w:val="0"/>
          <w:sz w:val="32"/>
          <w:szCs w:val="32"/>
        </w:rPr>
        <w:t>本规范适用于对广东省行政区域内生产、流通环节工业产品及其经营者的质量信用分类监管。食品、食品添加剂、化妆品、计量器具、</w:t>
      </w:r>
      <w:r>
        <w:rPr>
          <w:rFonts w:hint="eastAsia" w:ascii="Times New Roman" w:hAnsi="Times New Roman" w:eastAsia="仿宋" w:cs="仿宋"/>
          <w:b w:val="0"/>
          <w:bCs/>
          <w:snapToGrid w:val="0"/>
          <w:color w:val="000000"/>
          <w:spacing w:val="-2"/>
          <w:kern w:val="0"/>
          <w:sz w:val="32"/>
          <w:szCs w:val="32"/>
        </w:rPr>
        <w:t>特种设备</w:t>
      </w:r>
      <w:r>
        <w:rPr>
          <w:rFonts w:hint="eastAsia" w:ascii="Times New Roman" w:hAnsi="Times New Roman" w:eastAsia="仿宋" w:cs="仿宋"/>
          <w:snapToGrid w:val="0"/>
          <w:color w:val="000000"/>
          <w:spacing w:val="-2"/>
          <w:kern w:val="0"/>
          <w:sz w:val="32"/>
          <w:szCs w:val="32"/>
        </w:rPr>
        <w:t>及其经营者的质量信用分类监管不适用本规范。有其他专门规定的从其规定。</w:t>
      </w:r>
    </w:p>
    <w:p>
      <w:pPr>
        <w:keepNext w:val="0"/>
        <w:keepLines w:val="0"/>
        <w:pageBreakBefore w:val="0"/>
        <w:tabs>
          <w:tab w:val="left" w:pos="540"/>
          <w:tab w:val="left" w:pos="720"/>
          <w:tab w:val="left" w:pos="900"/>
        </w:tabs>
        <w:kinsoku/>
        <w:wordWrap/>
        <w:overflowPunct/>
        <w:topLinePunct w:val="0"/>
        <w:autoSpaceDE/>
        <w:autoSpaceDN/>
        <w:bidi w:val="0"/>
        <w:adjustRightInd/>
        <w:snapToGrid/>
        <w:spacing w:line="590" w:lineRule="exact"/>
        <w:ind w:left="0" w:leftChars="0" w:right="0" w:rightChars="0" w:firstLine="666" w:firstLineChars="200"/>
        <w:textAlignment w:val="auto"/>
        <w:outlineLvl w:val="9"/>
        <w:rPr>
          <w:rFonts w:hint="eastAsia" w:ascii="Times New Roman" w:hAnsi="Times New Roman" w:eastAsia="仿宋" w:cs="仿宋"/>
          <w:snapToGrid w:val="0"/>
          <w:color w:val="000000"/>
          <w:spacing w:val="-2"/>
          <w:kern w:val="0"/>
          <w:sz w:val="32"/>
          <w:szCs w:val="32"/>
        </w:rPr>
      </w:pPr>
      <w:r>
        <w:rPr>
          <w:rFonts w:hint="eastAsia" w:ascii="Times New Roman" w:hAnsi="Times New Roman" w:eastAsia="仿宋" w:cs="仿宋"/>
          <w:b/>
          <w:snapToGrid w:val="0"/>
          <w:color w:val="000000"/>
          <w:spacing w:val="-2"/>
          <w:kern w:val="0"/>
          <w:sz w:val="32"/>
          <w:szCs w:val="32"/>
        </w:rPr>
        <w:t>第三条</w:t>
      </w:r>
      <w:r>
        <w:rPr>
          <w:rFonts w:hint="eastAsia" w:ascii="Times New Roman" w:hAnsi="Times New Roman" w:eastAsia="仿宋" w:cs="仿宋"/>
          <w:b/>
          <w:snapToGrid w:val="0"/>
          <w:color w:val="000000"/>
          <w:spacing w:val="-2"/>
          <w:kern w:val="0"/>
          <w:sz w:val="32"/>
          <w:szCs w:val="32"/>
          <w:lang w:val="en-US" w:eastAsia="zh-CN"/>
        </w:rPr>
        <w:t xml:space="preserve">  </w:t>
      </w:r>
      <w:r>
        <w:rPr>
          <w:rFonts w:hint="eastAsia" w:ascii="Times New Roman" w:hAnsi="Times New Roman" w:eastAsia="仿宋" w:cs="仿宋"/>
          <w:b/>
          <w:snapToGrid w:val="0"/>
          <w:color w:val="000000"/>
          <w:spacing w:val="-2"/>
          <w:kern w:val="0"/>
          <w:sz w:val="32"/>
          <w:szCs w:val="32"/>
        </w:rPr>
        <w:t>【定义】</w:t>
      </w:r>
      <w:r>
        <w:rPr>
          <w:rFonts w:hint="eastAsia" w:ascii="Times New Roman" w:hAnsi="Times New Roman" w:eastAsia="仿宋" w:cs="仿宋"/>
          <w:snapToGrid w:val="0"/>
          <w:color w:val="000000"/>
          <w:spacing w:val="-2"/>
          <w:kern w:val="0"/>
          <w:sz w:val="32"/>
          <w:szCs w:val="32"/>
        </w:rPr>
        <w:t>本规范所称产品质量信用分类监管，是指市场监管部门将产品及其经营者质量违法和失信情形进行量化记分，并按照记分情况实行差异化监管的管理制度。</w:t>
      </w:r>
    </w:p>
    <w:p>
      <w:pPr>
        <w:keepNext w:val="0"/>
        <w:keepLines w:val="0"/>
        <w:pageBreakBefore w:val="0"/>
        <w:tabs>
          <w:tab w:val="left" w:pos="540"/>
          <w:tab w:val="left" w:pos="720"/>
          <w:tab w:val="left" w:pos="900"/>
        </w:tabs>
        <w:kinsoku/>
        <w:wordWrap/>
        <w:overflowPunct/>
        <w:topLinePunct w:val="0"/>
        <w:autoSpaceDE/>
        <w:autoSpaceDN/>
        <w:bidi w:val="0"/>
        <w:adjustRightInd/>
        <w:snapToGrid/>
        <w:spacing w:line="590" w:lineRule="exact"/>
        <w:ind w:left="0" w:leftChars="0" w:right="0" w:rightChars="0" w:firstLine="666" w:firstLineChars="200"/>
        <w:textAlignment w:val="auto"/>
        <w:outlineLvl w:val="9"/>
        <w:rPr>
          <w:rFonts w:hint="eastAsia" w:ascii="Times New Roman" w:hAnsi="Times New Roman" w:eastAsia="仿宋" w:cs="仿宋"/>
          <w:snapToGrid w:val="0"/>
          <w:color w:val="000000"/>
          <w:spacing w:val="-2"/>
          <w:kern w:val="0"/>
          <w:sz w:val="32"/>
          <w:szCs w:val="32"/>
        </w:rPr>
      </w:pPr>
      <w:r>
        <w:rPr>
          <w:rFonts w:hint="eastAsia" w:ascii="Times New Roman" w:hAnsi="Times New Roman" w:eastAsia="仿宋" w:cs="仿宋"/>
          <w:b/>
          <w:snapToGrid w:val="0"/>
          <w:color w:val="000000"/>
          <w:spacing w:val="-2"/>
          <w:kern w:val="0"/>
          <w:sz w:val="32"/>
          <w:szCs w:val="32"/>
        </w:rPr>
        <w:t>第四条</w:t>
      </w:r>
      <w:r>
        <w:rPr>
          <w:rFonts w:hint="eastAsia" w:ascii="Times New Roman" w:hAnsi="Times New Roman" w:eastAsia="仿宋" w:cs="仿宋"/>
          <w:b/>
          <w:snapToGrid w:val="0"/>
          <w:color w:val="000000"/>
          <w:spacing w:val="-2"/>
          <w:kern w:val="0"/>
          <w:sz w:val="32"/>
          <w:szCs w:val="32"/>
          <w:lang w:val="en-US" w:eastAsia="zh-CN"/>
        </w:rPr>
        <w:t xml:space="preserve">  </w:t>
      </w:r>
      <w:r>
        <w:rPr>
          <w:rFonts w:hint="eastAsia" w:ascii="Times New Roman" w:hAnsi="Times New Roman" w:eastAsia="仿宋" w:cs="仿宋"/>
          <w:b/>
          <w:snapToGrid w:val="0"/>
          <w:color w:val="000000"/>
          <w:spacing w:val="-2"/>
          <w:kern w:val="0"/>
          <w:sz w:val="32"/>
          <w:szCs w:val="32"/>
        </w:rPr>
        <w:t>【工作原则】</w:t>
      </w:r>
      <w:r>
        <w:rPr>
          <w:rFonts w:hint="eastAsia" w:ascii="Times New Roman" w:hAnsi="Times New Roman" w:eastAsia="仿宋" w:cs="仿宋"/>
          <w:snapToGrid w:val="0"/>
          <w:color w:val="000000"/>
          <w:spacing w:val="-2"/>
          <w:kern w:val="0"/>
          <w:sz w:val="32"/>
          <w:szCs w:val="32"/>
        </w:rPr>
        <w:t>产品质量信用分类监管工作遵循科学管理、公平公正和公开透明的原则。</w:t>
      </w:r>
    </w:p>
    <w:p>
      <w:pPr>
        <w:keepNext w:val="0"/>
        <w:keepLines w:val="0"/>
        <w:pageBreakBefore w:val="0"/>
        <w:tabs>
          <w:tab w:val="left" w:pos="540"/>
          <w:tab w:val="left" w:pos="720"/>
          <w:tab w:val="left" w:pos="900"/>
        </w:tabs>
        <w:kinsoku/>
        <w:wordWrap/>
        <w:overflowPunct/>
        <w:topLinePunct w:val="0"/>
        <w:autoSpaceDE/>
        <w:autoSpaceDN/>
        <w:bidi w:val="0"/>
        <w:adjustRightInd/>
        <w:snapToGrid/>
        <w:spacing w:line="590" w:lineRule="exact"/>
        <w:ind w:left="0" w:leftChars="0" w:right="0" w:rightChars="0" w:firstLine="666" w:firstLineChars="200"/>
        <w:textAlignment w:val="auto"/>
        <w:outlineLvl w:val="9"/>
        <w:rPr>
          <w:rFonts w:hint="eastAsia" w:ascii="Times New Roman" w:hAnsi="Times New Roman" w:eastAsia="仿宋" w:cs="仿宋"/>
          <w:snapToGrid w:val="0"/>
          <w:color w:val="000000"/>
          <w:spacing w:val="-2"/>
          <w:kern w:val="0"/>
          <w:sz w:val="32"/>
          <w:szCs w:val="32"/>
        </w:rPr>
      </w:pPr>
      <w:r>
        <w:rPr>
          <w:rFonts w:hint="eastAsia" w:ascii="Times New Roman" w:hAnsi="Times New Roman" w:eastAsia="仿宋" w:cs="仿宋"/>
          <w:b/>
          <w:snapToGrid w:val="0"/>
          <w:color w:val="000000"/>
          <w:spacing w:val="-2"/>
          <w:kern w:val="0"/>
          <w:sz w:val="32"/>
          <w:szCs w:val="32"/>
        </w:rPr>
        <w:t>第五条</w:t>
      </w:r>
      <w:r>
        <w:rPr>
          <w:rFonts w:hint="eastAsia" w:ascii="Times New Roman" w:hAnsi="Times New Roman" w:eastAsia="仿宋" w:cs="仿宋"/>
          <w:b/>
          <w:snapToGrid w:val="0"/>
          <w:color w:val="000000"/>
          <w:spacing w:val="-2"/>
          <w:kern w:val="0"/>
          <w:sz w:val="32"/>
          <w:szCs w:val="32"/>
          <w:lang w:val="en-US" w:eastAsia="zh-CN"/>
        </w:rPr>
        <w:t xml:space="preserve">  </w:t>
      </w:r>
      <w:r>
        <w:rPr>
          <w:rFonts w:hint="eastAsia" w:ascii="Times New Roman" w:hAnsi="Times New Roman" w:eastAsia="仿宋" w:cs="仿宋"/>
          <w:b/>
          <w:snapToGrid w:val="0"/>
          <w:color w:val="000000"/>
          <w:spacing w:val="-2"/>
          <w:kern w:val="0"/>
          <w:sz w:val="32"/>
          <w:szCs w:val="32"/>
        </w:rPr>
        <w:t>【工作分工】</w:t>
      </w:r>
      <w:r>
        <w:rPr>
          <w:rFonts w:hint="eastAsia" w:ascii="Times New Roman" w:hAnsi="Times New Roman" w:eastAsia="仿宋" w:cs="仿宋"/>
          <w:bCs/>
          <w:snapToGrid w:val="0"/>
          <w:color w:val="000000"/>
          <w:spacing w:val="-2"/>
          <w:kern w:val="0"/>
          <w:sz w:val="32"/>
          <w:szCs w:val="32"/>
        </w:rPr>
        <w:t>省级市场监管部门</w:t>
      </w:r>
      <w:r>
        <w:rPr>
          <w:rFonts w:hint="eastAsia" w:ascii="Times New Roman" w:hAnsi="Times New Roman" w:eastAsia="仿宋" w:cs="仿宋"/>
          <w:snapToGrid w:val="0"/>
          <w:color w:val="000000"/>
          <w:spacing w:val="-2"/>
          <w:kern w:val="0"/>
          <w:sz w:val="32"/>
          <w:szCs w:val="32"/>
        </w:rPr>
        <w:t>（以下简称省局）负责统筹协调全省产品质量信用分类监管工作，</w:t>
      </w:r>
      <w:r>
        <w:rPr>
          <w:rFonts w:hint="eastAsia" w:ascii="Times New Roman" w:hAnsi="Times New Roman" w:eastAsia="仿宋" w:cs="仿宋"/>
          <w:color w:val="000000"/>
          <w:sz w:val="32"/>
          <w:szCs w:val="32"/>
        </w:rPr>
        <w:t>各地市市场监管部门</w:t>
      </w:r>
      <w:r>
        <w:rPr>
          <w:rFonts w:hint="eastAsia" w:ascii="Times New Roman" w:hAnsi="Times New Roman" w:eastAsia="仿宋" w:cs="仿宋"/>
          <w:snapToGrid w:val="0"/>
          <w:color w:val="000000"/>
          <w:spacing w:val="-2"/>
          <w:kern w:val="0"/>
          <w:sz w:val="32"/>
          <w:szCs w:val="32"/>
        </w:rPr>
        <w:t>负责组织实施本辖区的产品质量信用记分与分类监管工作，各县（</w:t>
      </w:r>
      <w:r>
        <w:rPr>
          <w:rFonts w:hint="eastAsia" w:ascii="Times New Roman" w:hAnsi="Times New Roman" w:eastAsia="仿宋" w:cs="仿宋"/>
          <w:snapToGrid w:val="0"/>
          <w:color w:val="000000"/>
          <w:spacing w:val="-2"/>
          <w:kern w:val="0"/>
          <w:sz w:val="32"/>
          <w:szCs w:val="32"/>
          <w:lang w:eastAsia="zh-CN"/>
        </w:rPr>
        <w:t>市、</w:t>
      </w:r>
      <w:r>
        <w:rPr>
          <w:rFonts w:hint="eastAsia" w:ascii="Times New Roman" w:hAnsi="Times New Roman" w:eastAsia="仿宋" w:cs="仿宋"/>
          <w:snapToGrid w:val="0"/>
          <w:color w:val="000000"/>
          <w:spacing w:val="-2"/>
          <w:kern w:val="0"/>
          <w:sz w:val="32"/>
          <w:szCs w:val="32"/>
        </w:rPr>
        <w:t>区）</w:t>
      </w:r>
      <w:r>
        <w:rPr>
          <w:rFonts w:hint="eastAsia" w:ascii="Times New Roman" w:hAnsi="Times New Roman" w:eastAsia="仿宋" w:cs="仿宋"/>
          <w:color w:val="000000"/>
          <w:sz w:val="32"/>
          <w:szCs w:val="32"/>
        </w:rPr>
        <w:t>市场监管部门</w:t>
      </w:r>
      <w:r>
        <w:rPr>
          <w:rFonts w:hint="eastAsia" w:ascii="Times New Roman" w:hAnsi="Times New Roman" w:eastAsia="仿宋" w:cs="仿宋"/>
          <w:snapToGrid w:val="0"/>
          <w:color w:val="000000"/>
          <w:spacing w:val="-2"/>
          <w:kern w:val="0"/>
          <w:sz w:val="32"/>
          <w:szCs w:val="32"/>
        </w:rPr>
        <w:t>负责落实本辖区的产品质量信用记分与分类监管工作。</w:t>
      </w:r>
    </w:p>
    <w:p>
      <w:pPr>
        <w:keepNext w:val="0"/>
        <w:keepLines w:val="0"/>
        <w:pageBreakBefore w:val="0"/>
        <w:kinsoku/>
        <w:wordWrap/>
        <w:overflowPunct/>
        <w:topLinePunct w:val="0"/>
        <w:autoSpaceDE/>
        <w:autoSpaceDN/>
        <w:bidi w:val="0"/>
        <w:adjustRightInd/>
        <w:snapToGrid/>
        <w:spacing w:line="590" w:lineRule="exact"/>
        <w:ind w:left="0" w:leftChars="0" w:right="0" w:rightChars="0"/>
        <w:textAlignment w:val="auto"/>
        <w:outlineLvl w:val="9"/>
        <w:rPr>
          <w:rFonts w:hint="eastAsia" w:ascii="Times New Roman" w:hAnsi="Times New Roman" w:eastAsia="仿宋" w:cs="仿宋"/>
          <w:color w:val="000000"/>
          <w:sz w:val="32"/>
          <w:szCs w:val="32"/>
          <w:u w:val="single"/>
        </w:rPr>
      </w:pPr>
    </w:p>
    <w:p>
      <w:pPr>
        <w:keepNext w:val="0"/>
        <w:keepLines w:val="0"/>
        <w:pageBreakBefore w:val="0"/>
        <w:numPr>
          <w:ilvl w:val="0"/>
          <w:numId w:val="1"/>
        </w:numPr>
        <w:tabs>
          <w:tab w:val="left" w:pos="540"/>
          <w:tab w:val="left" w:pos="720"/>
          <w:tab w:val="left" w:pos="900"/>
        </w:tabs>
        <w:kinsoku/>
        <w:wordWrap/>
        <w:overflowPunct/>
        <w:topLinePunct w:val="0"/>
        <w:autoSpaceDE/>
        <w:autoSpaceDN/>
        <w:bidi w:val="0"/>
        <w:adjustRightInd/>
        <w:snapToGrid/>
        <w:spacing w:line="590" w:lineRule="exact"/>
        <w:ind w:left="0" w:leftChars="0" w:right="0" w:rightChars="0"/>
        <w:jc w:val="center"/>
        <w:textAlignment w:val="auto"/>
        <w:outlineLvl w:val="9"/>
        <w:rPr>
          <w:rFonts w:hint="eastAsia" w:ascii="Times New Roman" w:hAnsi="Times New Roman" w:eastAsia="黑体" w:cs="黑体"/>
          <w:snapToGrid w:val="0"/>
          <w:color w:val="000000"/>
          <w:spacing w:val="-2"/>
          <w:kern w:val="0"/>
          <w:sz w:val="32"/>
          <w:szCs w:val="32"/>
        </w:rPr>
      </w:pPr>
      <w:r>
        <w:rPr>
          <w:rFonts w:hint="eastAsia" w:ascii="Times New Roman" w:hAnsi="Times New Roman" w:eastAsia="黑体" w:cs="黑体"/>
          <w:snapToGrid w:val="0"/>
          <w:color w:val="000000"/>
          <w:spacing w:val="-2"/>
          <w:kern w:val="0"/>
          <w:sz w:val="32"/>
          <w:szCs w:val="32"/>
        </w:rPr>
        <w:t xml:space="preserve"> 产品质量信用记分</w:t>
      </w:r>
    </w:p>
    <w:p>
      <w:pPr>
        <w:keepNext w:val="0"/>
        <w:keepLines w:val="0"/>
        <w:pageBreakBefore w:val="0"/>
        <w:tabs>
          <w:tab w:val="left" w:pos="540"/>
          <w:tab w:val="left" w:pos="720"/>
          <w:tab w:val="left" w:pos="900"/>
        </w:tabs>
        <w:kinsoku/>
        <w:wordWrap/>
        <w:overflowPunct/>
        <w:topLinePunct w:val="0"/>
        <w:autoSpaceDE/>
        <w:autoSpaceDN/>
        <w:bidi w:val="0"/>
        <w:adjustRightInd/>
        <w:snapToGrid/>
        <w:spacing w:line="590" w:lineRule="exact"/>
        <w:ind w:left="0" w:leftChars="0" w:right="0" w:rightChars="0"/>
        <w:jc w:val="center"/>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第一节  记分规则</w:t>
      </w:r>
    </w:p>
    <w:p>
      <w:pPr>
        <w:keepNext w:val="0"/>
        <w:keepLines w:val="0"/>
        <w:pageBreakBefore w:val="0"/>
        <w:tabs>
          <w:tab w:val="left" w:pos="540"/>
          <w:tab w:val="left" w:pos="720"/>
          <w:tab w:val="left" w:pos="900"/>
        </w:tabs>
        <w:kinsoku/>
        <w:wordWrap/>
        <w:overflowPunct/>
        <w:topLinePunct w:val="0"/>
        <w:autoSpaceDE/>
        <w:autoSpaceDN/>
        <w:bidi w:val="0"/>
        <w:adjustRightInd/>
        <w:snapToGrid/>
        <w:spacing w:line="590" w:lineRule="exact"/>
        <w:ind w:left="0" w:leftChars="0" w:right="0" w:rightChars="0"/>
        <w:textAlignment w:val="auto"/>
        <w:outlineLvl w:val="9"/>
        <w:rPr>
          <w:rFonts w:hint="eastAsia" w:ascii="Times New Roman" w:hAnsi="Times New Roman" w:eastAsia="仿宋" w:cs="仿宋"/>
          <w:color w:val="000000"/>
          <w:sz w:val="32"/>
          <w:szCs w:val="32"/>
        </w:rPr>
      </w:pP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b/>
          <w:bCs/>
          <w:color w:val="000000"/>
          <w:sz w:val="32"/>
          <w:szCs w:val="32"/>
        </w:rPr>
      </w:pPr>
      <w:r>
        <w:rPr>
          <w:rFonts w:hint="eastAsia" w:ascii="Times New Roman" w:hAnsi="Times New Roman" w:eastAsia="仿宋" w:cs="仿宋"/>
          <w:b/>
          <w:bCs/>
          <w:color w:val="000000"/>
          <w:sz w:val="32"/>
          <w:szCs w:val="32"/>
        </w:rPr>
        <w:t>第六条</w:t>
      </w:r>
      <w:r>
        <w:rPr>
          <w:rFonts w:hint="eastAsia" w:ascii="Times New Roman" w:hAnsi="Times New Roman" w:eastAsia="仿宋" w:cs="仿宋"/>
          <w:b/>
          <w:bCs/>
          <w:color w:val="000000"/>
          <w:sz w:val="32"/>
          <w:szCs w:val="32"/>
          <w:lang w:val="en-US" w:eastAsia="zh-CN"/>
        </w:rPr>
        <w:t xml:space="preserve">  </w:t>
      </w:r>
      <w:r>
        <w:rPr>
          <w:rFonts w:hint="eastAsia" w:ascii="Times New Roman" w:hAnsi="Times New Roman" w:eastAsia="仿宋" w:cs="仿宋"/>
          <w:b/>
          <w:bCs/>
          <w:color w:val="000000"/>
          <w:sz w:val="32"/>
          <w:szCs w:val="32"/>
        </w:rPr>
        <w:t>【记分对象】</w:t>
      </w:r>
      <w:r>
        <w:rPr>
          <w:rFonts w:hint="eastAsia" w:ascii="Times New Roman" w:hAnsi="Times New Roman" w:eastAsia="仿宋" w:cs="仿宋"/>
          <w:color w:val="000000"/>
          <w:sz w:val="32"/>
          <w:szCs w:val="32"/>
        </w:rPr>
        <w:t>质量信用的记分对象包括产品和经营者，经营者分为生产者和销售者（含服务提供者）。</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b/>
          <w:bCs/>
          <w:color w:val="000000"/>
          <w:sz w:val="32"/>
          <w:szCs w:val="32"/>
        </w:rPr>
        <w:t>第七条</w:t>
      </w:r>
      <w:r>
        <w:rPr>
          <w:rFonts w:hint="eastAsia" w:ascii="Times New Roman" w:hAnsi="Times New Roman" w:eastAsia="仿宋" w:cs="仿宋"/>
          <w:b/>
          <w:bCs/>
          <w:color w:val="000000"/>
          <w:sz w:val="32"/>
          <w:szCs w:val="32"/>
          <w:lang w:val="en-US" w:eastAsia="zh-CN"/>
        </w:rPr>
        <w:t xml:space="preserve">  </w:t>
      </w:r>
      <w:r>
        <w:rPr>
          <w:rFonts w:hint="eastAsia" w:ascii="Times New Roman" w:hAnsi="Times New Roman" w:eastAsia="仿宋" w:cs="仿宋"/>
          <w:b/>
          <w:bCs/>
          <w:color w:val="000000"/>
          <w:sz w:val="32"/>
          <w:szCs w:val="32"/>
        </w:rPr>
        <w:t>【记分周期】</w:t>
      </w:r>
      <w:r>
        <w:rPr>
          <w:rFonts w:hint="eastAsia" w:ascii="Times New Roman" w:hAnsi="Times New Roman" w:eastAsia="仿宋" w:cs="仿宋"/>
          <w:color w:val="000000"/>
          <w:sz w:val="32"/>
          <w:szCs w:val="32"/>
        </w:rPr>
        <w:t>质量信用的记分周期为24个月。记分周期从首次产生质量信用记分当日开始计算，并动态保持最近24个月内的记分。</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自相关质量信用行为或表现被市场监管部门记录或确认之日起，超过24个月的记分记录自动清零。</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b/>
          <w:bCs/>
          <w:color w:val="000000"/>
          <w:sz w:val="32"/>
          <w:szCs w:val="32"/>
        </w:rPr>
        <w:t>第八条</w:t>
      </w:r>
      <w:r>
        <w:rPr>
          <w:rFonts w:hint="eastAsia" w:ascii="Times New Roman" w:hAnsi="Times New Roman" w:eastAsia="仿宋" w:cs="仿宋"/>
          <w:b/>
          <w:bCs/>
          <w:color w:val="000000"/>
          <w:sz w:val="32"/>
          <w:szCs w:val="32"/>
          <w:lang w:val="en-US" w:eastAsia="zh-CN"/>
        </w:rPr>
        <w:t xml:space="preserve">  </w:t>
      </w:r>
      <w:r>
        <w:rPr>
          <w:rFonts w:hint="eastAsia" w:ascii="Times New Roman" w:hAnsi="Times New Roman" w:eastAsia="仿宋" w:cs="仿宋"/>
          <w:b/>
          <w:bCs/>
          <w:color w:val="000000"/>
          <w:sz w:val="32"/>
          <w:szCs w:val="32"/>
        </w:rPr>
        <w:t>【记分组成】</w:t>
      </w:r>
      <w:r>
        <w:rPr>
          <w:rFonts w:hint="eastAsia" w:ascii="Times New Roman" w:hAnsi="Times New Roman" w:eastAsia="仿宋" w:cs="仿宋"/>
          <w:color w:val="000000"/>
          <w:sz w:val="32"/>
          <w:szCs w:val="32"/>
        </w:rPr>
        <w:t>质量信用分是起始分、奖励分、扣除分和修复分之和。记分对象如有失信行为则扣分；扣分后，如符合本规范相关规定的，可申请对扣分进行修复。</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b/>
          <w:bCs/>
          <w:color w:val="000000"/>
          <w:sz w:val="32"/>
          <w:szCs w:val="32"/>
        </w:rPr>
        <w:t>第九条</w:t>
      </w:r>
      <w:r>
        <w:rPr>
          <w:rFonts w:hint="eastAsia" w:ascii="Times New Roman" w:hAnsi="Times New Roman" w:eastAsia="仿宋" w:cs="仿宋"/>
          <w:b/>
          <w:bCs/>
          <w:color w:val="000000"/>
          <w:sz w:val="32"/>
          <w:szCs w:val="32"/>
          <w:lang w:val="en-US" w:eastAsia="zh-CN"/>
        </w:rPr>
        <w:t xml:space="preserve">  </w:t>
      </w:r>
      <w:r>
        <w:rPr>
          <w:rFonts w:hint="eastAsia" w:ascii="Times New Roman" w:hAnsi="Times New Roman" w:eastAsia="仿宋" w:cs="仿宋"/>
          <w:b/>
          <w:bCs/>
          <w:color w:val="000000"/>
          <w:sz w:val="32"/>
          <w:szCs w:val="32"/>
        </w:rPr>
        <w:t>【记分原则】</w:t>
      </w:r>
      <w:r>
        <w:rPr>
          <w:rFonts w:hint="eastAsia" w:ascii="Times New Roman" w:hAnsi="Times New Roman" w:eastAsia="仿宋" w:cs="仿宋"/>
          <w:color w:val="000000"/>
          <w:sz w:val="32"/>
          <w:szCs w:val="32"/>
        </w:rPr>
        <w:t>同一次质量信用行为或同一条质量信用记录只记分一次。同一质量信用行为（记录）涉及多个记分对象时，多个记分对象均予以相应记分；同一质量信用行为（记录）可对应多个记分情形时，取最高分记分。</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180日内同一质量信用行为（记录）只记分一次，但180日后同一情形的失信行为仍持续的，应再次扣分。</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b/>
          <w:bCs/>
          <w:color w:val="000000"/>
          <w:sz w:val="32"/>
          <w:szCs w:val="32"/>
          <w:highlight w:val="none"/>
        </w:rPr>
        <w:t>第十条</w:t>
      </w:r>
      <w:r>
        <w:rPr>
          <w:rFonts w:hint="eastAsia" w:ascii="Times New Roman" w:hAnsi="Times New Roman" w:eastAsia="仿宋" w:cs="仿宋"/>
          <w:b/>
          <w:bCs/>
          <w:color w:val="000000"/>
          <w:sz w:val="32"/>
          <w:szCs w:val="32"/>
          <w:lang w:val="en-US" w:eastAsia="zh-CN"/>
        </w:rPr>
        <w:t xml:space="preserve">  </w:t>
      </w:r>
      <w:r>
        <w:rPr>
          <w:rFonts w:hint="eastAsia" w:ascii="Times New Roman" w:hAnsi="Times New Roman" w:eastAsia="仿宋" w:cs="仿宋"/>
          <w:b/>
          <w:bCs/>
          <w:color w:val="000000"/>
          <w:sz w:val="32"/>
          <w:szCs w:val="32"/>
        </w:rPr>
        <w:t>【</w:t>
      </w:r>
      <w:r>
        <w:rPr>
          <w:rFonts w:hint="eastAsia" w:ascii="Times New Roman" w:hAnsi="Times New Roman" w:eastAsia="仿宋" w:cs="仿宋"/>
          <w:b/>
          <w:color w:val="000000"/>
          <w:sz w:val="32"/>
          <w:szCs w:val="32"/>
        </w:rPr>
        <w:t>零分锁定</w:t>
      </w:r>
      <w:r>
        <w:rPr>
          <w:rFonts w:hint="eastAsia" w:ascii="Times New Roman" w:hAnsi="Times New Roman" w:eastAsia="仿宋" w:cs="仿宋"/>
          <w:b/>
          <w:bCs/>
          <w:color w:val="000000"/>
          <w:sz w:val="32"/>
          <w:szCs w:val="32"/>
        </w:rPr>
        <w:t>】</w:t>
      </w:r>
      <w:r>
        <w:rPr>
          <w:rFonts w:hint="eastAsia" w:ascii="Times New Roman" w:hAnsi="Times New Roman" w:eastAsia="仿宋" w:cs="仿宋"/>
          <w:color w:val="000000"/>
          <w:sz w:val="32"/>
          <w:szCs w:val="32"/>
        </w:rPr>
        <w:t>记分对象质量信用分扣至0分时锁定180日。锁定期内不可修复，并暂停扣分。</w:t>
      </w:r>
      <w:r>
        <w:rPr>
          <w:rFonts w:hint="eastAsia" w:ascii="Times New Roman" w:hAnsi="Times New Roman" w:eastAsia="仿宋" w:cs="仿宋"/>
          <w:color w:val="000000"/>
          <w:sz w:val="32"/>
          <w:szCs w:val="32"/>
          <w:lang w:val="en-US" w:eastAsia="zh-CN"/>
        </w:rPr>
        <w:t>180日后，恢复至起始分12分并重新记扣分。</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b/>
          <w:bCs/>
          <w:color w:val="000000"/>
          <w:sz w:val="32"/>
          <w:szCs w:val="32"/>
        </w:rPr>
        <w:t>第十一条</w:t>
      </w:r>
      <w:r>
        <w:rPr>
          <w:rFonts w:hint="eastAsia" w:ascii="Times New Roman" w:hAnsi="Times New Roman" w:eastAsia="仿宋" w:cs="仿宋"/>
          <w:b/>
          <w:bCs/>
          <w:color w:val="000000"/>
          <w:sz w:val="32"/>
          <w:szCs w:val="32"/>
          <w:lang w:val="en-US" w:eastAsia="zh-CN"/>
        </w:rPr>
        <w:t xml:space="preserve">  </w:t>
      </w:r>
      <w:r>
        <w:rPr>
          <w:rFonts w:hint="eastAsia" w:ascii="Times New Roman" w:hAnsi="Times New Roman" w:eastAsia="仿宋" w:cs="仿宋"/>
          <w:b/>
          <w:bCs/>
          <w:color w:val="000000"/>
          <w:sz w:val="32"/>
          <w:szCs w:val="32"/>
        </w:rPr>
        <w:t>【产品质量信用记分】</w:t>
      </w:r>
      <w:r>
        <w:rPr>
          <w:rFonts w:hint="eastAsia" w:ascii="Times New Roman" w:hAnsi="Times New Roman" w:eastAsia="仿宋" w:cs="仿宋"/>
          <w:color w:val="000000"/>
          <w:sz w:val="32"/>
          <w:szCs w:val="32"/>
        </w:rPr>
        <w:t>产品质量信用起始分为12分。起始分在记分对象产生第一条质量信用记录时赋予。</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不同品牌（商标）和类别的产品应分别予以记分，质量信用记分产品类别的划分由省局制定和发布。多个生产者共用一个品牌（商标）时，所有使用该品牌（商标）的同类别产品的质量信用记录均纳入该品牌（商标）产品记分。</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b/>
          <w:bCs/>
          <w:color w:val="000000"/>
          <w:sz w:val="32"/>
          <w:szCs w:val="32"/>
        </w:rPr>
        <w:t>第十二条</w:t>
      </w:r>
      <w:r>
        <w:rPr>
          <w:rFonts w:hint="eastAsia" w:ascii="Times New Roman" w:hAnsi="Times New Roman" w:eastAsia="仿宋" w:cs="仿宋"/>
          <w:b/>
          <w:bCs/>
          <w:color w:val="000000"/>
          <w:sz w:val="32"/>
          <w:szCs w:val="32"/>
          <w:lang w:val="en-US" w:eastAsia="zh-CN"/>
        </w:rPr>
        <w:t xml:space="preserve">  </w:t>
      </w:r>
      <w:r>
        <w:rPr>
          <w:rFonts w:hint="eastAsia" w:ascii="Times New Roman" w:hAnsi="Times New Roman" w:eastAsia="仿宋" w:cs="仿宋"/>
          <w:b/>
          <w:bCs/>
          <w:color w:val="000000"/>
          <w:sz w:val="32"/>
          <w:szCs w:val="32"/>
        </w:rPr>
        <w:t>【经营者质量信用记分】</w:t>
      </w:r>
      <w:r>
        <w:rPr>
          <w:rFonts w:hint="eastAsia" w:ascii="Times New Roman" w:hAnsi="Times New Roman" w:eastAsia="仿宋" w:cs="仿宋"/>
          <w:color w:val="000000"/>
          <w:sz w:val="32"/>
          <w:szCs w:val="32"/>
        </w:rPr>
        <w:t>经营者质量信用分为其经营产品对应的产品质量信用分、经营者行为奖励分、扣除分及修复分之和。一个经营者只有一个质量信用记分结果。当经营者涉及多类产品时，其用于记分的产品质量信用分取各类别中的最低分。多个生产者共用一个品牌（商标）时，只有实际生产者生产的产品才纳入其产品质量信用记分。</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b/>
          <w:bCs/>
          <w:color w:val="000000"/>
          <w:sz w:val="32"/>
          <w:szCs w:val="32"/>
        </w:rPr>
      </w:pPr>
      <w:r>
        <w:rPr>
          <w:rFonts w:hint="eastAsia" w:ascii="Times New Roman" w:hAnsi="Times New Roman" w:eastAsia="仿宋" w:cs="仿宋"/>
          <w:color w:val="000000"/>
          <w:sz w:val="32"/>
          <w:szCs w:val="32"/>
        </w:rPr>
        <w:t>经营者同时具备生产者和销售者属性时，针对相应的生产者和销售者信用行为（记录）分别记分。</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b/>
          <w:bCs/>
          <w:color w:val="000000"/>
          <w:sz w:val="32"/>
          <w:szCs w:val="32"/>
        </w:rPr>
      </w:pPr>
    </w:p>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第二节  信用奖励加分</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b/>
          <w:bCs/>
          <w:color w:val="000000"/>
          <w:sz w:val="32"/>
          <w:szCs w:val="32"/>
        </w:rPr>
      </w:pP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b/>
          <w:bCs/>
          <w:color w:val="000000"/>
          <w:sz w:val="32"/>
          <w:szCs w:val="32"/>
        </w:rPr>
        <w:t>第十三条</w:t>
      </w:r>
      <w:r>
        <w:rPr>
          <w:rFonts w:hint="eastAsia" w:ascii="Times New Roman" w:hAnsi="Times New Roman" w:eastAsia="仿宋" w:cs="仿宋"/>
          <w:b/>
          <w:bCs/>
          <w:color w:val="000000"/>
          <w:sz w:val="32"/>
          <w:szCs w:val="32"/>
          <w:lang w:val="en-US" w:eastAsia="zh-CN"/>
        </w:rPr>
        <w:t xml:space="preserve">  </w:t>
      </w:r>
      <w:r>
        <w:rPr>
          <w:rFonts w:hint="eastAsia" w:ascii="Times New Roman" w:hAnsi="Times New Roman" w:eastAsia="仿宋" w:cs="仿宋"/>
          <w:b/>
          <w:bCs/>
          <w:color w:val="000000"/>
          <w:sz w:val="32"/>
          <w:szCs w:val="32"/>
        </w:rPr>
        <w:t>【产品质量信用奖励加分情形】</w:t>
      </w:r>
      <w:r>
        <w:rPr>
          <w:rFonts w:hint="eastAsia" w:ascii="Times New Roman" w:hAnsi="Times New Roman" w:eastAsia="仿宋" w:cs="仿宋"/>
          <w:color w:val="000000"/>
          <w:sz w:val="32"/>
          <w:szCs w:val="32"/>
        </w:rPr>
        <w:t>24个月记分周期内，同一类产品在监督抽查中连续未发现不合格的，予以记产品质量信用奖励加分。</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b/>
          <w:bCs/>
          <w:color w:val="000000"/>
          <w:sz w:val="32"/>
          <w:szCs w:val="32"/>
        </w:rPr>
      </w:pPr>
      <w:r>
        <w:rPr>
          <w:rFonts w:hint="eastAsia" w:ascii="Times New Roman" w:hAnsi="Times New Roman" w:eastAsia="仿宋" w:cs="仿宋"/>
          <w:b/>
          <w:bCs/>
          <w:color w:val="000000"/>
          <w:sz w:val="32"/>
          <w:szCs w:val="32"/>
        </w:rPr>
        <w:t>第十四条</w:t>
      </w:r>
      <w:r>
        <w:rPr>
          <w:rFonts w:hint="eastAsia" w:ascii="Times New Roman" w:hAnsi="Times New Roman" w:eastAsia="仿宋" w:cs="仿宋"/>
          <w:b/>
          <w:bCs/>
          <w:color w:val="000000"/>
          <w:sz w:val="32"/>
          <w:szCs w:val="32"/>
          <w:lang w:val="en-US" w:eastAsia="zh-CN"/>
        </w:rPr>
        <w:t xml:space="preserve">  </w:t>
      </w:r>
      <w:r>
        <w:rPr>
          <w:rFonts w:hint="eastAsia" w:ascii="Times New Roman" w:hAnsi="Times New Roman" w:eastAsia="仿宋" w:cs="仿宋"/>
          <w:b/>
          <w:bCs/>
          <w:color w:val="000000"/>
          <w:sz w:val="32"/>
          <w:szCs w:val="32"/>
        </w:rPr>
        <w:t>【经营者质量信用奖励加分情形】</w:t>
      </w:r>
      <w:r>
        <w:rPr>
          <w:rFonts w:hint="eastAsia" w:ascii="Times New Roman" w:hAnsi="Times New Roman" w:eastAsia="仿宋" w:cs="仿宋"/>
          <w:color w:val="000000"/>
          <w:sz w:val="32"/>
          <w:szCs w:val="32"/>
        </w:rPr>
        <w:t>对经营者存在下列情形之一的，予以记经营者质量信用奖励加分：</w:t>
      </w:r>
    </w:p>
    <w:p>
      <w:pPr>
        <w:keepNext w:val="0"/>
        <w:keepLines w:val="0"/>
        <w:pageBreakBefore w:val="0"/>
        <w:numPr>
          <w:ilvl w:val="0"/>
          <w:numId w:val="2"/>
        </w:numPr>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积极配合监管部门组织的产品质量监督抽查，且记分周期内连续未发现不合格的。</w:t>
      </w:r>
    </w:p>
    <w:p>
      <w:pPr>
        <w:keepNext w:val="0"/>
        <w:keepLines w:val="0"/>
        <w:pageBreakBefore w:val="0"/>
        <w:numPr>
          <w:ilvl w:val="0"/>
          <w:numId w:val="2"/>
        </w:numPr>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在市场监管部门将产品判定为缺陷产品之前，主动召回或下架存在安全隐患的产品，并向市场监管部门报备或在广东省产品质量监管系统登记的。</w:t>
      </w:r>
    </w:p>
    <w:p>
      <w:pPr>
        <w:keepNext w:val="0"/>
        <w:keepLines w:val="0"/>
        <w:pageBreakBefore w:val="0"/>
        <w:numPr>
          <w:ilvl w:val="0"/>
          <w:numId w:val="2"/>
        </w:numPr>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销售者销售的同一型号产品经监督抽查不合格，有关行政部门发出通告、生产者发出通知后，立即作下架处理，并登录广东省产品质量监管系统填报自查整改数据的。</w:t>
      </w:r>
    </w:p>
    <w:p>
      <w:pPr>
        <w:keepNext w:val="0"/>
        <w:keepLines w:val="0"/>
        <w:pageBreakBefore w:val="0"/>
        <w:numPr>
          <w:ilvl w:val="0"/>
          <w:numId w:val="2"/>
        </w:numPr>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举报制售假行为，或为打击假冒伪劣行为提供重要线索的。</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b/>
          <w:bCs/>
          <w:color w:val="000000"/>
          <w:sz w:val="32"/>
          <w:szCs w:val="32"/>
        </w:rPr>
      </w:pPr>
      <w:r>
        <w:rPr>
          <w:rFonts w:hint="eastAsia" w:ascii="Times New Roman" w:hAnsi="Times New Roman" w:eastAsia="仿宋" w:cs="仿宋"/>
          <w:b/>
          <w:bCs/>
          <w:color w:val="000000"/>
          <w:sz w:val="32"/>
          <w:szCs w:val="32"/>
        </w:rPr>
        <w:t>第十五条</w:t>
      </w:r>
      <w:r>
        <w:rPr>
          <w:rFonts w:hint="eastAsia" w:ascii="Times New Roman" w:hAnsi="Times New Roman" w:eastAsia="仿宋" w:cs="仿宋"/>
          <w:b/>
          <w:bCs/>
          <w:color w:val="000000"/>
          <w:sz w:val="32"/>
          <w:szCs w:val="32"/>
          <w:lang w:val="en-US" w:eastAsia="zh-CN"/>
        </w:rPr>
        <w:t xml:space="preserve">  </w:t>
      </w:r>
      <w:r>
        <w:rPr>
          <w:rFonts w:hint="eastAsia" w:ascii="Times New Roman" w:hAnsi="Times New Roman" w:eastAsia="仿宋" w:cs="仿宋"/>
          <w:b/>
          <w:bCs/>
          <w:color w:val="000000"/>
          <w:sz w:val="32"/>
          <w:szCs w:val="32"/>
        </w:rPr>
        <w:t>【加分限制】</w:t>
      </w:r>
      <w:r>
        <w:rPr>
          <w:rFonts w:hint="eastAsia" w:ascii="Times New Roman" w:hAnsi="Times New Roman" w:eastAsia="仿宋" w:cs="仿宋"/>
          <w:color w:val="000000"/>
          <w:sz w:val="32"/>
          <w:szCs w:val="32"/>
        </w:rPr>
        <w:t>在一个记分周期内，同一记分对象加分上限为2分。加分满2分后，原有加分记录期满24个月清零时，才可记新的加分。</w:t>
      </w:r>
    </w:p>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outlineLvl w:val="9"/>
        <w:rPr>
          <w:rFonts w:hint="eastAsia" w:ascii="Times New Roman" w:hAnsi="Times New Roman" w:eastAsia="仿宋" w:cs="仿宋"/>
          <w:color w:val="000000"/>
          <w:sz w:val="32"/>
          <w:szCs w:val="32"/>
        </w:rPr>
      </w:pPr>
    </w:p>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第三节  信用扣分及修复</w:t>
      </w:r>
    </w:p>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outlineLvl w:val="9"/>
        <w:rPr>
          <w:rFonts w:hint="eastAsia" w:ascii="Times New Roman" w:hAnsi="Times New Roman" w:eastAsia="仿宋" w:cs="仿宋"/>
          <w:color w:val="000000"/>
          <w:sz w:val="32"/>
          <w:szCs w:val="32"/>
        </w:rPr>
      </w:pP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b/>
          <w:bCs/>
          <w:color w:val="000000"/>
          <w:sz w:val="32"/>
          <w:szCs w:val="32"/>
        </w:rPr>
        <w:t>第十六条</w:t>
      </w:r>
      <w:r>
        <w:rPr>
          <w:rFonts w:hint="eastAsia" w:ascii="Times New Roman" w:hAnsi="Times New Roman" w:eastAsia="仿宋" w:cs="仿宋"/>
          <w:b/>
          <w:bCs/>
          <w:color w:val="000000"/>
          <w:sz w:val="32"/>
          <w:szCs w:val="32"/>
          <w:lang w:val="en-US" w:eastAsia="zh-CN"/>
        </w:rPr>
        <w:t xml:space="preserve">  </w:t>
      </w:r>
      <w:r>
        <w:rPr>
          <w:rFonts w:hint="eastAsia" w:ascii="Times New Roman" w:hAnsi="Times New Roman" w:eastAsia="仿宋" w:cs="仿宋"/>
          <w:b/>
          <w:bCs/>
          <w:color w:val="000000"/>
          <w:sz w:val="32"/>
          <w:szCs w:val="32"/>
        </w:rPr>
        <w:t>【产品质量失信扣分情形】</w:t>
      </w:r>
      <w:r>
        <w:rPr>
          <w:rFonts w:hint="eastAsia" w:ascii="Times New Roman" w:hAnsi="Times New Roman" w:eastAsia="仿宋" w:cs="仿宋"/>
          <w:color w:val="000000"/>
          <w:sz w:val="32"/>
          <w:szCs w:val="32"/>
        </w:rPr>
        <w:t>同一类产品存在下列失信情形之一的，予以记扣分：</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（一）产品在各级产品质量监督抽查中被判定为不合格的。</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二）产品存在伪造或冒用强制性产品认证证书或生产许可证及相关标志，伪造或冒用他人厂名厂址、品牌（商标），不标示或标示的厂名厂址、联系方式不真实或无效的，掺杂掺假、偷工减料、以假充真、以次充好，以及以不合格产品冒充合格产品的等涉嫌假冒伪劣情形。</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（三）产品标签标识不符合法律法规规定的。</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（四）因产品质量问题造成质量安全事件或其他不良影响的。</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b/>
          <w:bCs/>
          <w:color w:val="000000"/>
          <w:sz w:val="32"/>
          <w:szCs w:val="32"/>
        </w:rPr>
        <w:t>第十七条</w:t>
      </w:r>
      <w:r>
        <w:rPr>
          <w:rFonts w:hint="eastAsia" w:ascii="Times New Roman" w:hAnsi="Times New Roman" w:eastAsia="仿宋" w:cs="仿宋"/>
          <w:b/>
          <w:bCs/>
          <w:color w:val="000000"/>
          <w:sz w:val="32"/>
          <w:szCs w:val="32"/>
          <w:lang w:val="en-US" w:eastAsia="zh-CN"/>
        </w:rPr>
        <w:t xml:space="preserve">  </w:t>
      </w:r>
      <w:r>
        <w:rPr>
          <w:rFonts w:hint="eastAsia" w:ascii="Times New Roman" w:hAnsi="Times New Roman" w:eastAsia="仿宋" w:cs="仿宋"/>
          <w:b/>
          <w:bCs/>
          <w:color w:val="000000"/>
          <w:sz w:val="32"/>
          <w:szCs w:val="32"/>
        </w:rPr>
        <w:t>【经营者经营行为失信扣分情形】</w:t>
      </w:r>
      <w:r>
        <w:rPr>
          <w:rFonts w:hint="eastAsia" w:ascii="Times New Roman" w:hAnsi="Times New Roman" w:eastAsia="仿宋" w:cs="仿宋"/>
          <w:color w:val="000000"/>
          <w:sz w:val="32"/>
          <w:szCs w:val="32"/>
        </w:rPr>
        <w:t>经营者存在下列失信情形之一的，予以记扣分：</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（一）经营者生产、销售或经营性服务中提供、使用的产品存在第十六条第（一）至（三）项规定的情形，且经营者不能证明为非主观故意的。</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（二）生产者购进无厂名厂址、来源不明的原材料或零部件的，或销售者购进或者销售无厂名、厂址等来源不明产品的。</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（三）生产国家明令淘汰的产品，或销售国家明令淘汰、禁止销售的产品的。</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四）对取得生产许可证、强制性产品认证或者其他认证证书的生产者，不能保持发证条件仍继续生产的；或对实行生产许可证管理或列入强制性产品认证目录内的产品未经许可或认证，擅自出厂、销售的；或违反相关法律法规规定，被发证部门吊销、撤销相关行政许可资质、资格的。</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（五）经认定在监督抽查、检查中存在拒检行为的。</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（六）销售的同一型号产品经监督抽查不合格，有关行政部门发出通告或生产者发出通知后，销售者仍未按要求作下架处理，或下架后违规重新上架的。</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（七）产品被市场监管部门认定为缺陷产品，生产者无正当理由未依法实施召回的；销售者在有关行政部门发出通告或生产者发出通知后仍未按要求处置、继续销售，或拒绝配合将缺陷产品召回的。</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（八）向市场监管部门故意隐瞒产品、经销商的真实信息，或者提供虚假或错误产品、经销商信息的。</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（九）在市场监管部门组织的监督检查中被判定为不合格或被行政处罚的。</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（十）销售的产品经监督抽查不合格，未履行进货查验制度且不能追溯到进货来源的。</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（十一）销售失效、变质产品的。</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（十二）生产或销售的产品因质量问题造成质量安全事件或其他不良影响的。</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（十三）存在其他产品质量违法违规行为的。</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b/>
          <w:bCs/>
          <w:color w:val="000000"/>
          <w:sz w:val="32"/>
          <w:szCs w:val="32"/>
        </w:rPr>
        <w:t>第十八条</w:t>
      </w:r>
      <w:r>
        <w:rPr>
          <w:rFonts w:hint="eastAsia" w:ascii="Times New Roman" w:hAnsi="Times New Roman" w:eastAsia="仿宋" w:cs="仿宋"/>
          <w:b/>
          <w:bCs/>
          <w:color w:val="000000"/>
          <w:sz w:val="32"/>
          <w:szCs w:val="32"/>
          <w:lang w:val="en-US" w:eastAsia="zh-CN"/>
        </w:rPr>
        <w:t xml:space="preserve">  </w:t>
      </w:r>
      <w:r>
        <w:rPr>
          <w:rFonts w:hint="eastAsia" w:ascii="Times New Roman" w:hAnsi="Times New Roman" w:eastAsia="仿宋" w:cs="仿宋"/>
          <w:b/>
          <w:bCs/>
          <w:color w:val="000000"/>
          <w:sz w:val="32"/>
          <w:szCs w:val="32"/>
        </w:rPr>
        <w:t>【主观故意</w:t>
      </w:r>
      <w:r>
        <w:rPr>
          <w:rFonts w:hint="eastAsia" w:ascii="Times New Roman" w:hAnsi="Times New Roman" w:eastAsia="仿宋" w:cs="仿宋"/>
          <w:b/>
          <w:bCs/>
          <w:color w:val="000000"/>
          <w:sz w:val="32"/>
          <w:szCs w:val="32"/>
          <w:lang w:eastAsia="zh-CN"/>
        </w:rPr>
        <w:t>情形的</w:t>
      </w:r>
      <w:r>
        <w:rPr>
          <w:rFonts w:hint="eastAsia" w:ascii="Times New Roman" w:hAnsi="Times New Roman" w:eastAsia="仿宋" w:cs="仿宋"/>
          <w:b/>
          <w:bCs/>
          <w:color w:val="000000"/>
          <w:sz w:val="32"/>
          <w:szCs w:val="32"/>
        </w:rPr>
        <w:t>认定】</w:t>
      </w:r>
      <w:r>
        <w:rPr>
          <w:rFonts w:hint="eastAsia" w:ascii="Times New Roman" w:hAnsi="Times New Roman" w:eastAsia="仿宋" w:cs="仿宋"/>
          <w:color w:val="000000"/>
          <w:sz w:val="32"/>
          <w:szCs w:val="32"/>
        </w:rPr>
        <w:t>存在下列情形之一的，认定为主观故意：</w:t>
      </w:r>
    </w:p>
    <w:p>
      <w:pPr>
        <w:pStyle w:val="10"/>
        <w:keepNext w:val="0"/>
        <w:keepLines w:val="0"/>
        <w:pageBreakBefore w:val="0"/>
        <w:numPr>
          <w:ilvl w:val="0"/>
          <w:numId w:val="3"/>
        </w:numPr>
        <w:kinsoku/>
        <w:wordWrap/>
        <w:overflowPunct/>
        <w:topLinePunct w:val="0"/>
        <w:autoSpaceDE/>
        <w:autoSpaceDN/>
        <w:bidi w:val="0"/>
        <w:adjustRightInd/>
        <w:snapToGrid/>
        <w:spacing w:line="590" w:lineRule="exact"/>
        <w:ind w:left="0" w:leftChars="0" w:right="0" w:rightChars="0" w:firstLine="64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产品存在第十六条第（二）项规定的情形的；</w:t>
      </w:r>
    </w:p>
    <w:p>
      <w:pPr>
        <w:pStyle w:val="10"/>
        <w:keepNext w:val="0"/>
        <w:keepLines w:val="0"/>
        <w:pageBreakBefore w:val="0"/>
        <w:numPr>
          <w:ilvl w:val="0"/>
          <w:numId w:val="3"/>
        </w:numPr>
        <w:kinsoku/>
        <w:wordWrap/>
        <w:overflowPunct/>
        <w:topLinePunct w:val="0"/>
        <w:autoSpaceDE/>
        <w:autoSpaceDN/>
        <w:bidi w:val="0"/>
        <w:adjustRightInd/>
        <w:snapToGrid/>
        <w:spacing w:line="590" w:lineRule="exact"/>
        <w:ind w:left="0" w:leftChars="0" w:right="0" w:rightChars="0" w:firstLine="64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经营者行为被认定为第十七条第（二）至（八）项规定的情形的；</w:t>
      </w:r>
    </w:p>
    <w:p>
      <w:pPr>
        <w:pStyle w:val="10"/>
        <w:keepNext w:val="0"/>
        <w:keepLines w:val="0"/>
        <w:pageBreakBefore w:val="0"/>
        <w:numPr>
          <w:ilvl w:val="0"/>
          <w:numId w:val="3"/>
        </w:numPr>
        <w:kinsoku/>
        <w:wordWrap/>
        <w:overflowPunct/>
        <w:topLinePunct w:val="0"/>
        <w:autoSpaceDE/>
        <w:autoSpaceDN/>
        <w:bidi w:val="0"/>
        <w:adjustRightInd/>
        <w:snapToGrid/>
        <w:spacing w:line="590" w:lineRule="exact"/>
        <w:ind w:left="0" w:leftChars="0" w:right="0" w:rightChars="0" w:firstLine="64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记分周期内再次出现同一原因导致的产品质量问题或同样违规违法行为的；</w:t>
      </w:r>
    </w:p>
    <w:p>
      <w:pPr>
        <w:pStyle w:val="10"/>
        <w:keepNext w:val="0"/>
        <w:keepLines w:val="0"/>
        <w:pageBreakBefore w:val="0"/>
        <w:numPr>
          <w:ilvl w:val="0"/>
          <w:numId w:val="3"/>
        </w:numPr>
        <w:kinsoku/>
        <w:wordWrap/>
        <w:overflowPunct/>
        <w:topLinePunct w:val="0"/>
        <w:autoSpaceDE/>
        <w:autoSpaceDN/>
        <w:bidi w:val="0"/>
        <w:adjustRightInd/>
        <w:snapToGrid/>
        <w:spacing w:line="590" w:lineRule="exact"/>
        <w:ind w:left="0" w:leftChars="0" w:right="0" w:rightChars="0" w:firstLine="64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经营者知道或应当知道情况下的其他违法违规行为。</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b/>
          <w:bCs/>
          <w:color w:val="000000"/>
          <w:sz w:val="32"/>
          <w:szCs w:val="32"/>
        </w:rPr>
        <w:t>第十九条</w:t>
      </w:r>
      <w:r>
        <w:rPr>
          <w:rFonts w:hint="eastAsia" w:ascii="Times New Roman" w:hAnsi="Times New Roman" w:eastAsia="仿宋" w:cs="仿宋"/>
          <w:b/>
          <w:bCs/>
          <w:color w:val="000000"/>
          <w:sz w:val="32"/>
          <w:szCs w:val="32"/>
          <w:lang w:val="en-US" w:eastAsia="zh-CN"/>
        </w:rPr>
        <w:t xml:space="preserve">  </w:t>
      </w:r>
      <w:r>
        <w:rPr>
          <w:rFonts w:hint="eastAsia" w:ascii="Times New Roman" w:hAnsi="Times New Roman" w:eastAsia="仿宋" w:cs="仿宋"/>
          <w:b/>
          <w:bCs/>
          <w:color w:val="000000"/>
          <w:sz w:val="32"/>
          <w:szCs w:val="32"/>
        </w:rPr>
        <w:t>【修复申请条件】</w:t>
      </w:r>
      <w:r>
        <w:rPr>
          <w:rFonts w:hint="eastAsia" w:ascii="Times New Roman" w:hAnsi="Times New Roman" w:eastAsia="仿宋" w:cs="仿宋"/>
          <w:color w:val="000000"/>
          <w:sz w:val="32"/>
          <w:szCs w:val="32"/>
        </w:rPr>
        <w:t>经营者或其经营的产品被扣分后，同时符合下列条件的，可以申请对失信扣分进行修复：</w:t>
      </w:r>
    </w:p>
    <w:p>
      <w:pPr>
        <w:keepNext w:val="0"/>
        <w:keepLines w:val="0"/>
        <w:pageBreakBefore w:val="0"/>
        <w:numPr>
          <w:ilvl w:val="0"/>
          <w:numId w:val="4"/>
        </w:numPr>
        <w:kinsoku/>
        <w:wordWrap/>
        <w:overflowPunct/>
        <w:topLinePunct w:val="0"/>
        <w:autoSpaceDE/>
        <w:autoSpaceDN/>
        <w:bidi w:val="0"/>
        <w:adjustRightInd/>
        <w:snapToGrid/>
        <w:spacing w:line="590" w:lineRule="exact"/>
        <w:ind w:left="0" w:leftChars="0" w:right="0" w:rightChars="0" w:firstLine="64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经营者能证明其失信行为或结果为非主观故意；</w:t>
      </w:r>
    </w:p>
    <w:p>
      <w:pPr>
        <w:keepNext w:val="0"/>
        <w:keepLines w:val="0"/>
        <w:pageBreakBefore w:val="0"/>
        <w:numPr>
          <w:ilvl w:val="0"/>
          <w:numId w:val="4"/>
        </w:numPr>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相关失信行为没有造成产品质量安全事件或较大不良影响；</w:t>
      </w:r>
    </w:p>
    <w:p>
      <w:pPr>
        <w:keepNext w:val="0"/>
        <w:keepLines w:val="0"/>
        <w:pageBreakBefore w:val="0"/>
        <w:numPr>
          <w:ilvl w:val="0"/>
          <w:numId w:val="4"/>
        </w:numPr>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失信扣分对应的行为或结果已积极整改，并经市场监管部门确认或认可。</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b/>
          <w:color w:val="000000"/>
          <w:sz w:val="32"/>
          <w:szCs w:val="32"/>
        </w:rPr>
        <w:t>第二十条</w:t>
      </w:r>
      <w:r>
        <w:rPr>
          <w:rFonts w:hint="eastAsia" w:ascii="Times New Roman" w:hAnsi="Times New Roman" w:eastAsia="仿宋" w:cs="仿宋"/>
          <w:b/>
          <w:color w:val="000000"/>
          <w:sz w:val="32"/>
          <w:szCs w:val="32"/>
          <w:lang w:val="en-US" w:eastAsia="zh-CN"/>
        </w:rPr>
        <w:t xml:space="preserve">  </w:t>
      </w:r>
      <w:r>
        <w:rPr>
          <w:rStyle w:val="11"/>
          <w:rFonts w:hint="eastAsia" w:ascii="Times New Roman" w:hAnsi="Times New Roman" w:eastAsia="仿宋" w:cs="仿宋"/>
          <w:b/>
          <w:bCs/>
          <w:color w:val="000000"/>
          <w:sz w:val="32"/>
          <w:szCs w:val="32"/>
          <w:shd w:val="clear" w:color="auto" w:fill="FFFFFF"/>
        </w:rPr>
        <w:t>【</w:t>
      </w:r>
      <w:r>
        <w:rPr>
          <w:rFonts w:hint="eastAsia" w:ascii="Times New Roman" w:hAnsi="Times New Roman" w:eastAsia="仿宋" w:cs="仿宋"/>
          <w:b/>
          <w:color w:val="000000"/>
          <w:sz w:val="32"/>
          <w:szCs w:val="32"/>
        </w:rPr>
        <w:t>修复申请与受理</w:t>
      </w:r>
      <w:r>
        <w:rPr>
          <w:rStyle w:val="11"/>
          <w:rFonts w:hint="eastAsia" w:ascii="Times New Roman" w:hAnsi="Times New Roman" w:eastAsia="仿宋" w:cs="仿宋"/>
          <w:b/>
          <w:bCs/>
          <w:color w:val="000000"/>
          <w:sz w:val="32"/>
          <w:szCs w:val="32"/>
          <w:shd w:val="clear" w:color="auto" w:fill="FFFFFF"/>
        </w:rPr>
        <w:t>】</w:t>
      </w:r>
      <w:r>
        <w:rPr>
          <w:rFonts w:hint="eastAsia" w:ascii="Times New Roman" w:hAnsi="Times New Roman" w:eastAsia="仿宋" w:cs="仿宋"/>
          <w:color w:val="000000"/>
          <w:sz w:val="32"/>
          <w:szCs w:val="32"/>
        </w:rPr>
        <w:t>自失信行为或结果</w:t>
      </w:r>
      <w:r>
        <w:rPr>
          <w:rFonts w:hint="eastAsia" w:ascii="Times New Roman" w:hAnsi="Times New Roman" w:eastAsia="仿宋" w:cs="仿宋"/>
          <w:color w:val="000000"/>
          <w:sz w:val="32"/>
          <w:szCs w:val="32"/>
          <w:lang w:eastAsia="zh-CN"/>
        </w:rPr>
        <w:t>已</w:t>
      </w:r>
      <w:r>
        <w:rPr>
          <w:rFonts w:hint="eastAsia" w:ascii="Times New Roman" w:hAnsi="Times New Roman" w:eastAsia="仿宋" w:cs="仿宋"/>
          <w:color w:val="000000"/>
          <w:sz w:val="32"/>
          <w:szCs w:val="32"/>
        </w:rPr>
        <w:t>整改</w:t>
      </w:r>
      <w:r>
        <w:rPr>
          <w:rFonts w:hint="eastAsia" w:ascii="Times New Roman" w:hAnsi="Times New Roman" w:eastAsia="仿宋" w:cs="仿宋"/>
          <w:color w:val="000000"/>
          <w:sz w:val="32"/>
          <w:szCs w:val="32"/>
          <w:lang w:eastAsia="zh-CN"/>
        </w:rPr>
        <w:t>并</w:t>
      </w:r>
      <w:r>
        <w:rPr>
          <w:rFonts w:hint="eastAsia" w:ascii="Times New Roman" w:hAnsi="Times New Roman" w:eastAsia="仿宋" w:cs="仿宋"/>
          <w:color w:val="000000"/>
          <w:sz w:val="32"/>
          <w:szCs w:val="32"/>
        </w:rPr>
        <w:t>得到市场监管部门确认或认可之日起，</w:t>
      </w:r>
      <w:r>
        <w:rPr>
          <w:rStyle w:val="11"/>
          <w:rFonts w:hint="eastAsia" w:ascii="Times New Roman" w:hAnsi="Times New Roman" w:eastAsia="仿宋" w:cs="仿宋"/>
          <w:color w:val="000000"/>
          <w:sz w:val="32"/>
          <w:szCs w:val="32"/>
          <w:shd w:val="clear" w:color="auto" w:fill="FFFFFF"/>
        </w:rPr>
        <w:t>经营者</w:t>
      </w:r>
      <w:r>
        <w:rPr>
          <w:rFonts w:hint="eastAsia" w:ascii="Times New Roman" w:hAnsi="Times New Roman" w:eastAsia="仿宋" w:cs="仿宋"/>
          <w:color w:val="000000"/>
          <w:sz w:val="32"/>
          <w:szCs w:val="32"/>
        </w:rPr>
        <w:t>可向</w:t>
      </w:r>
      <w:r>
        <w:rPr>
          <w:rStyle w:val="11"/>
          <w:rFonts w:hint="eastAsia" w:ascii="Times New Roman" w:hAnsi="Times New Roman" w:eastAsia="仿宋" w:cs="仿宋"/>
          <w:color w:val="000000"/>
          <w:sz w:val="32"/>
          <w:szCs w:val="32"/>
          <w:shd w:val="clear" w:color="auto" w:fill="FFFFFF"/>
        </w:rPr>
        <w:t>所在地市场监管部门</w:t>
      </w:r>
      <w:r>
        <w:rPr>
          <w:rFonts w:hint="eastAsia" w:ascii="Times New Roman" w:hAnsi="Times New Roman" w:eastAsia="仿宋" w:cs="仿宋"/>
          <w:color w:val="000000"/>
          <w:sz w:val="32"/>
          <w:szCs w:val="32"/>
        </w:rPr>
        <w:t>提出修复申请。</w:t>
      </w:r>
      <w:r>
        <w:rPr>
          <w:rStyle w:val="11"/>
          <w:rFonts w:hint="eastAsia" w:ascii="Times New Roman" w:hAnsi="Times New Roman" w:eastAsia="仿宋" w:cs="仿宋"/>
          <w:color w:val="000000"/>
          <w:sz w:val="32"/>
          <w:szCs w:val="32"/>
          <w:shd w:val="clear" w:color="auto" w:fill="FFFFFF"/>
        </w:rPr>
        <w:t>所在地市场监管部门</w:t>
      </w:r>
      <w:r>
        <w:rPr>
          <w:rFonts w:hint="eastAsia" w:ascii="Times New Roman" w:hAnsi="Times New Roman" w:eastAsia="仿宋" w:cs="仿宋"/>
          <w:color w:val="000000"/>
          <w:sz w:val="32"/>
          <w:szCs w:val="32"/>
        </w:rPr>
        <w:t>收到相关申请材料后，应在5个工作日内进行核实，决定是否准予修复并告知申请人。</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Style w:val="11"/>
          <w:rFonts w:hint="eastAsia" w:ascii="Times New Roman" w:hAnsi="Times New Roman" w:eastAsia="仿宋" w:cs="仿宋"/>
          <w:color w:val="000000"/>
          <w:sz w:val="32"/>
          <w:szCs w:val="32"/>
          <w:shd w:val="clear" w:color="auto" w:fill="FFFFFF"/>
        </w:rPr>
        <w:t>所在地市场监管部门</w:t>
      </w:r>
      <w:r>
        <w:rPr>
          <w:rFonts w:hint="eastAsia" w:ascii="Times New Roman" w:hAnsi="Times New Roman" w:eastAsia="仿宋" w:cs="仿宋"/>
          <w:color w:val="000000"/>
          <w:sz w:val="32"/>
          <w:szCs w:val="32"/>
        </w:rPr>
        <w:t>应自准予信用修复决定之日起3个工作日内实施相应的信用修复。</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b/>
          <w:bCs/>
          <w:color w:val="000000"/>
          <w:sz w:val="32"/>
          <w:szCs w:val="32"/>
        </w:rPr>
        <w:t>第二十一条</w:t>
      </w:r>
      <w:r>
        <w:rPr>
          <w:rFonts w:hint="eastAsia" w:ascii="Times New Roman" w:hAnsi="Times New Roman" w:eastAsia="仿宋" w:cs="仿宋"/>
          <w:b/>
          <w:bCs/>
          <w:color w:val="000000"/>
          <w:sz w:val="32"/>
          <w:szCs w:val="32"/>
          <w:lang w:val="en-US" w:eastAsia="zh-CN"/>
        </w:rPr>
        <w:t xml:space="preserve">  </w:t>
      </w:r>
      <w:r>
        <w:rPr>
          <w:rFonts w:hint="eastAsia" w:ascii="Times New Roman" w:hAnsi="Times New Roman" w:eastAsia="仿宋" w:cs="仿宋"/>
          <w:b/>
          <w:bCs/>
          <w:color w:val="000000"/>
          <w:sz w:val="32"/>
          <w:szCs w:val="32"/>
        </w:rPr>
        <w:t>【修复规则】</w:t>
      </w:r>
      <w:r>
        <w:rPr>
          <w:rFonts w:hint="eastAsia" w:ascii="Times New Roman" w:hAnsi="Times New Roman" w:eastAsia="仿宋" w:cs="仿宋"/>
          <w:color w:val="000000"/>
          <w:sz w:val="32"/>
          <w:szCs w:val="32"/>
        </w:rPr>
        <w:t>信用修复遵循下列要求：</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（一）记分周期内同一记分对象首次扣分，按照失信扣分的50%予以修复，第二次按照失信扣分的25%予以修复，第三次及以上的不予修复。</w:t>
      </w:r>
    </w:p>
    <w:p>
      <w:pPr>
        <w:keepNext w:val="0"/>
        <w:keepLines w:val="0"/>
        <w:pageBreakBefore w:val="0"/>
        <w:numPr>
          <w:ilvl w:val="0"/>
          <w:numId w:val="5"/>
        </w:numPr>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每个记分对象只能基于整改记录对应的失信扣分进行修复，不得交叉修复。</w:t>
      </w:r>
    </w:p>
    <w:p>
      <w:pPr>
        <w:keepNext w:val="0"/>
        <w:keepLines w:val="0"/>
        <w:pageBreakBefore w:val="0"/>
        <w:numPr>
          <w:ilvl w:val="0"/>
          <w:numId w:val="5"/>
        </w:numPr>
        <w:kinsoku/>
        <w:wordWrap/>
        <w:overflowPunct/>
        <w:topLinePunct w:val="0"/>
        <w:autoSpaceDE/>
        <w:autoSpaceDN/>
        <w:bidi w:val="0"/>
        <w:adjustRightInd/>
        <w:snapToGrid/>
        <w:spacing w:line="590" w:lineRule="exact"/>
        <w:ind w:left="0" w:leftChars="0" w:right="0" w:rightChars="0" w:firstLine="64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失信扣分满24个月清零时，对应的修复分也清零。</w:t>
      </w:r>
    </w:p>
    <w:p>
      <w:pPr>
        <w:keepNext w:val="0"/>
        <w:keepLines w:val="0"/>
        <w:pageBreakBefore w:val="0"/>
        <w:kinsoku/>
        <w:wordWrap/>
        <w:overflowPunct/>
        <w:topLinePunct w:val="0"/>
        <w:autoSpaceDE/>
        <w:autoSpaceDN/>
        <w:bidi w:val="0"/>
        <w:adjustRightInd/>
        <w:snapToGrid/>
        <w:spacing w:line="590" w:lineRule="exact"/>
        <w:ind w:left="0" w:leftChars="0" w:right="0" w:rightChars="0"/>
        <w:textAlignment w:val="auto"/>
        <w:outlineLvl w:val="9"/>
        <w:rPr>
          <w:rFonts w:hint="eastAsia" w:ascii="Times New Roman" w:hAnsi="Times New Roman" w:eastAsia="仿宋" w:cs="仿宋"/>
          <w:color w:val="000000"/>
          <w:sz w:val="32"/>
          <w:szCs w:val="32"/>
        </w:rPr>
      </w:pPr>
    </w:p>
    <w:p>
      <w:pPr>
        <w:keepNext w:val="0"/>
        <w:keepLines w:val="0"/>
        <w:pageBreakBefore w:val="0"/>
        <w:tabs>
          <w:tab w:val="left" w:pos="540"/>
          <w:tab w:val="left" w:pos="720"/>
          <w:tab w:val="left" w:pos="900"/>
        </w:tabs>
        <w:kinsoku/>
        <w:wordWrap/>
        <w:overflowPunct/>
        <w:topLinePunct w:val="0"/>
        <w:autoSpaceDE/>
        <w:autoSpaceDN/>
        <w:bidi w:val="0"/>
        <w:adjustRightInd/>
        <w:snapToGrid/>
        <w:spacing w:line="590" w:lineRule="exact"/>
        <w:ind w:left="0" w:leftChars="0" w:right="0" w:rightChars="0" w:firstLine="333" w:firstLineChars="100"/>
        <w:jc w:val="center"/>
        <w:textAlignment w:val="auto"/>
        <w:outlineLvl w:val="9"/>
        <w:rPr>
          <w:rFonts w:hint="eastAsia" w:ascii="Times New Roman" w:hAnsi="Times New Roman" w:eastAsia="仿宋" w:cs="仿宋"/>
          <w:snapToGrid w:val="0"/>
          <w:color w:val="000000"/>
          <w:spacing w:val="-2"/>
          <w:kern w:val="0"/>
          <w:sz w:val="32"/>
          <w:szCs w:val="32"/>
        </w:rPr>
      </w:pPr>
      <w:r>
        <w:rPr>
          <w:rFonts w:hint="eastAsia" w:ascii="Times New Roman" w:hAnsi="Times New Roman" w:eastAsia="仿宋" w:cs="仿宋"/>
          <w:snapToGrid w:val="0"/>
          <w:color w:val="000000"/>
          <w:spacing w:val="-2"/>
          <w:kern w:val="0"/>
          <w:sz w:val="32"/>
          <w:szCs w:val="32"/>
        </w:rPr>
        <w:t>第四节  记分实施</w:t>
      </w:r>
    </w:p>
    <w:p>
      <w:pPr>
        <w:keepNext w:val="0"/>
        <w:keepLines w:val="0"/>
        <w:pageBreakBefore w:val="0"/>
        <w:tabs>
          <w:tab w:val="left" w:pos="540"/>
          <w:tab w:val="left" w:pos="720"/>
          <w:tab w:val="left" w:pos="900"/>
        </w:tabs>
        <w:kinsoku/>
        <w:wordWrap/>
        <w:overflowPunct/>
        <w:topLinePunct w:val="0"/>
        <w:autoSpaceDE/>
        <w:autoSpaceDN/>
        <w:bidi w:val="0"/>
        <w:adjustRightInd/>
        <w:snapToGrid/>
        <w:spacing w:line="590" w:lineRule="exact"/>
        <w:ind w:left="0" w:leftChars="0" w:right="0" w:rightChars="0"/>
        <w:textAlignment w:val="auto"/>
        <w:outlineLvl w:val="9"/>
        <w:rPr>
          <w:rFonts w:hint="eastAsia" w:ascii="Times New Roman" w:hAnsi="Times New Roman" w:eastAsia="仿宋" w:cs="仿宋"/>
          <w:snapToGrid w:val="0"/>
          <w:color w:val="000000"/>
          <w:spacing w:val="-2"/>
          <w:kern w:val="0"/>
          <w:sz w:val="32"/>
          <w:szCs w:val="32"/>
        </w:rPr>
      </w:pPr>
    </w:p>
    <w:p>
      <w:pPr>
        <w:keepNext w:val="0"/>
        <w:keepLines w:val="0"/>
        <w:pageBreakBefore w:val="0"/>
        <w:tabs>
          <w:tab w:val="left" w:pos="540"/>
          <w:tab w:val="left" w:pos="720"/>
          <w:tab w:val="left" w:pos="900"/>
        </w:tabs>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b/>
          <w:bCs/>
          <w:color w:val="000000"/>
          <w:sz w:val="32"/>
          <w:szCs w:val="32"/>
        </w:rPr>
        <w:t>第二十二条</w:t>
      </w:r>
      <w:r>
        <w:rPr>
          <w:rFonts w:hint="eastAsia" w:ascii="Times New Roman" w:hAnsi="Times New Roman" w:eastAsia="仿宋" w:cs="仿宋"/>
          <w:b/>
          <w:bCs/>
          <w:color w:val="000000"/>
          <w:sz w:val="32"/>
          <w:szCs w:val="32"/>
          <w:lang w:val="en-US" w:eastAsia="zh-CN"/>
        </w:rPr>
        <w:t xml:space="preserve">  </w:t>
      </w:r>
      <w:r>
        <w:rPr>
          <w:rFonts w:hint="eastAsia" w:ascii="Times New Roman" w:hAnsi="Times New Roman" w:eastAsia="仿宋" w:cs="仿宋"/>
          <w:b/>
          <w:bCs/>
          <w:color w:val="000000"/>
          <w:sz w:val="32"/>
          <w:szCs w:val="32"/>
        </w:rPr>
        <w:t>【实施要求】</w:t>
      </w:r>
      <w:r>
        <w:rPr>
          <w:rFonts w:hint="eastAsia" w:ascii="Times New Roman" w:hAnsi="Times New Roman" w:eastAsia="仿宋" w:cs="仿宋"/>
          <w:color w:val="000000"/>
          <w:sz w:val="32"/>
          <w:szCs w:val="32"/>
        </w:rPr>
        <w:t>产品质量信用记分依托广东省产品质量监管系统（以下简称系统）实施。系统根据质量信用记录自动记分和分类。各级市场监管部门应指定专人负责抽查检查结果、案件办理结果等产品质量信用记分相关信息的收集汇总、录入、核查与分析，完成与系统的信息对接以及上报等工作。</w:t>
      </w:r>
    </w:p>
    <w:p>
      <w:pPr>
        <w:keepNext w:val="0"/>
        <w:keepLines w:val="0"/>
        <w:pageBreakBefore w:val="0"/>
        <w:tabs>
          <w:tab w:val="left" w:pos="540"/>
          <w:tab w:val="left" w:pos="720"/>
          <w:tab w:val="left" w:pos="900"/>
        </w:tabs>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b/>
          <w:bCs/>
          <w:color w:val="000000"/>
          <w:sz w:val="32"/>
          <w:szCs w:val="32"/>
        </w:rPr>
        <w:t>第二十三条</w:t>
      </w:r>
      <w:r>
        <w:rPr>
          <w:rFonts w:hint="eastAsia" w:ascii="Times New Roman" w:hAnsi="Times New Roman" w:eastAsia="仿宋" w:cs="仿宋"/>
          <w:b/>
          <w:bCs/>
          <w:color w:val="000000"/>
          <w:sz w:val="32"/>
          <w:szCs w:val="32"/>
          <w:lang w:val="en-US" w:eastAsia="zh-CN"/>
        </w:rPr>
        <w:t xml:space="preserve">  </w:t>
      </w:r>
      <w:r>
        <w:rPr>
          <w:rFonts w:hint="eastAsia" w:ascii="Times New Roman" w:hAnsi="Times New Roman" w:eastAsia="仿宋" w:cs="仿宋"/>
          <w:b/>
          <w:bCs/>
          <w:color w:val="000000"/>
          <w:sz w:val="32"/>
          <w:szCs w:val="32"/>
        </w:rPr>
        <w:t>【记分实施】</w:t>
      </w:r>
      <w:r>
        <w:rPr>
          <w:rFonts w:hint="eastAsia" w:ascii="Times New Roman" w:hAnsi="Times New Roman" w:eastAsia="仿宋" w:cs="仿宋"/>
          <w:bCs/>
          <w:color w:val="000000"/>
          <w:sz w:val="32"/>
          <w:szCs w:val="32"/>
        </w:rPr>
        <w:t>在完成质量信用信息录入后，</w:t>
      </w:r>
      <w:r>
        <w:rPr>
          <w:rFonts w:hint="eastAsia" w:ascii="Times New Roman" w:hAnsi="Times New Roman" w:eastAsia="仿宋" w:cs="仿宋"/>
          <w:color w:val="000000"/>
          <w:sz w:val="32"/>
          <w:szCs w:val="32"/>
        </w:rPr>
        <w:t>市场监管部门应将拟实施记分的信用行为事实、拟记分及经营者的权利告知相应的经营者。异议期内经营者未提出异议的，系统直接实施记分；提出异议的，根据异议处理结果实施记分。</w:t>
      </w:r>
    </w:p>
    <w:p>
      <w:pPr>
        <w:keepNext w:val="0"/>
        <w:keepLines w:val="0"/>
        <w:pageBreakBefore w:val="0"/>
        <w:tabs>
          <w:tab w:val="left" w:pos="540"/>
          <w:tab w:val="left" w:pos="720"/>
          <w:tab w:val="left" w:pos="900"/>
        </w:tabs>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p>
    <w:p>
      <w:pPr>
        <w:keepNext w:val="0"/>
        <w:keepLines w:val="0"/>
        <w:pageBreakBefore w:val="0"/>
        <w:tabs>
          <w:tab w:val="left" w:pos="540"/>
          <w:tab w:val="left" w:pos="720"/>
          <w:tab w:val="left" w:pos="900"/>
        </w:tabs>
        <w:kinsoku/>
        <w:wordWrap/>
        <w:overflowPunct/>
        <w:topLinePunct w:val="0"/>
        <w:autoSpaceDE/>
        <w:autoSpaceDN/>
        <w:bidi w:val="0"/>
        <w:adjustRightInd/>
        <w:snapToGrid/>
        <w:spacing w:line="590" w:lineRule="exact"/>
        <w:ind w:left="0" w:leftChars="0" w:right="0" w:rightChars="0" w:firstLine="333" w:firstLineChars="100"/>
        <w:jc w:val="center"/>
        <w:textAlignment w:val="auto"/>
        <w:outlineLvl w:val="9"/>
        <w:rPr>
          <w:rStyle w:val="6"/>
          <w:rFonts w:hint="eastAsia" w:ascii="Times New Roman" w:hAnsi="Times New Roman" w:eastAsia="仿宋" w:cs="仿宋"/>
          <w:b w:val="0"/>
          <w:snapToGrid w:val="0"/>
          <w:color w:val="000000"/>
          <w:spacing w:val="-2"/>
          <w:kern w:val="0"/>
          <w:sz w:val="32"/>
          <w:szCs w:val="32"/>
        </w:rPr>
      </w:pPr>
      <w:r>
        <w:rPr>
          <w:rStyle w:val="6"/>
          <w:rFonts w:hint="eastAsia" w:ascii="Times New Roman" w:hAnsi="Times New Roman" w:eastAsia="仿宋" w:cs="仿宋"/>
          <w:b w:val="0"/>
          <w:snapToGrid w:val="0"/>
          <w:color w:val="000000"/>
          <w:spacing w:val="-2"/>
          <w:kern w:val="0"/>
          <w:sz w:val="32"/>
          <w:szCs w:val="32"/>
        </w:rPr>
        <w:t>第五节  异议处理和纠错</w:t>
      </w:r>
    </w:p>
    <w:p>
      <w:pPr>
        <w:keepNext w:val="0"/>
        <w:keepLines w:val="0"/>
        <w:pageBreakBefore w:val="0"/>
        <w:tabs>
          <w:tab w:val="left" w:pos="540"/>
          <w:tab w:val="left" w:pos="720"/>
          <w:tab w:val="left" w:pos="900"/>
        </w:tabs>
        <w:kinsoku/>
        <w:wordWrap/>
        <w:overflowPunct/>
        <w:topLinePunct w:val="0"/>
        <w:autoSpaceDE/>
        <w:autoSpaceDN/>
        <w:bidi w:val="0"/>
        <w:adjustRightInd/>
        <w:snapToGrid/>
        <w:spacing w:line="590" w:lineRule="exact"/>
        <w:ind w:left="0" w:leftChars="0" w:right="0" w:rightChars="0"/>
        <w:textAlignment w:val="auto"/>
        <w:outlineLvl w:val="9"/>
        <w:rPr>
          <w:rStyle w:val="6"/>
          <w:rFonts w:hint="eastAsia" w:ascii="Times New Roman" w:hAnsi="Times New Roman" w:eastAsia="仿宋" w:cs="仿宋"/>
          <w:b w:val="0"/>
          <w:snapToGrid w:val="0"/>
          <w:color w:val="000000"/>
          <w:spacing w:val="-2"/>
          <w:kern w:val="0"/>
          <w:sz w:val="32"/>
          <w:szCs w:val="32"/>
        </w:rPr>
      </w:pP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Style w:val="11"/>
          <w:rFonts w:hint="eastAsia" w:ascii="Times New Roman" w:hAnsi="Times New Roman" w:eastAsia="仿宋" w:cs="仿宋"/>
          <w:color w:val="000000"/>
          <w:sz w:val="32"/>
          <w:szCs w:val="32"/>
          <w:shd w:val="clear" w:color="auto" w:fill="FFFFFF"/>
        </w:rPr>
      </w:pPr>
      <w:r>
        <w:rPr>
          <w:rStyle w:val="11"/>
          <w:rFonts w:hint="eastAsia" w:ascii="Times New Roman" w:hAnsi="Times New Roman" w:eastAsia="仿宋" w:cs="仿宋"/>
          <w:b/>
          <w:bCs/>
          <w:color w:val="000000"/>
          <w:sz w:val="32"/>
          <w:szCs w:val="32"/>
          <w:shd w:val="clear" w:color="auto" w:fill="FFFFFF"/>
        </w:rPr>
        <w:t>第二十四条</w:t>
      </w:r>
      <w:r>
        <w:rPr>
          <w:rStyle w:val="11"/>
          <w:rFonts w:hint="eastAsia" w:ascii="Times New Roman" w:hAnsi="Times New Roman" w:eastAsia="仿宋" w:cs="仿宋"/>
          <w:b/>
          <w:bCs/>
          <w:color w:val="000000"/>
          <w:sz w:val="32"/>
          <w:szCs w:val="32"/>
          <w:shd w:val="clear" w:color="auto" w:fill="FFFFFF"/>
          <w:lang w:val="en-US" w:eastAsia="zh-CN"/>
        </w:rPr>
        <w:t xml:space="preserve">  </w:t>
      </w:r>
      <w:r>
        <w:rPr>
          <w:rStyle w:val="11"/>
          <w:rFonts w:hint="eastAsia" w:ascii="Times New Roman" w:hAnsi="Times New Roman" w:eastAsia="仿宋" w:cs="仿宋"/>
          <w:b/>
          <w:bCs/>
          <w:color w:val="000000"/>
          <w:sz w:val="32"/>
          <w:szCs w:val="32"/>
          <w:shd w:val="clear" w:color="auto" w:fill="FFFFFF"/>
        </w:rPr>
        <w:t>【异议处理】</w:t>
      </w:r>
      <w:r>
        <w:rPr>
          <w:rStyle w:val="11"/>
          <w:rFonts w:hint="eastAsia" w:ascii="Times New Roman" w:hAnsi="Times New Roman" w:eastAsia="仿宋" w:cs="仿宋"/>
          <w:color w:val="000000"/>
          <w:sz w:val="32"/>
          <w:szCs w:val="32"/>
          <w:shd w:val="clear" w:color="auto" w:fill="FFFFFF"/>
        </w:rPr>
        <w:t>经营者收到告知信息后，对拟扣分的失信行为事实或拟记分分值存在异议的，在异议期内向所在地市场监管部门提出异议申请，并提交相关证明材料，所在地市场监管部门应在5个工作日内决定是否受理。予以受理的，应在20个工作日内进行核实，并将核实结果告知申请人；不予受理的，将不予受理的理由告知申请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left="0" w:leftChars="0" w:right="0" w:rightChars="0" w:firstLine="674" w:firstLineChars="200"/>
        <w:jc w:val="both"/>
        <w:textAlignment w:val="auto"/>
        <w:outlineLvl w:val="9"/>
        <w:rPr>
          <w:rFonts w:hint="eastAsia" w:ascii="Times New Roman" w:hAnsi="Times New Roman" w:eastAsia="仿宋" w:cs="仿宋"/>
          <w:color w:val="000000"/>
          <w:sz w:val="32"/>
          <w:szCs w:val="32"/>
        </w:rPr>
      </w:pPr>
      <w:r>
        <w:rPr>
          <w:rStyle w:val="11"/>
          <w:rFonts w:hint="eastAsia" w:ascii="Times New Roman" w:hAnsi="Times New Roman" w:eastAsia="仿宋" w:cs="仿宋"/>
          <w:b/>
          <w:bCs/>
          <w:color w:val="000000"/>
          <w:kern w:val="2"/>
          <w:sz w:val="32"/>
          <w:szCs w:val="32"/>
          <w:shd w:val="clear" w:color="auto" w:fill="FFFFFF"/>
        </w:rPr>
        <w:t>第二十五条</w:t>
      </w:r>
      <w:r>
        <w:rPr>
          <w:rStyle w:val="11"/>
          <w:rFonts w:hint="eastAsia" w:ascii="Times New Roman" w:hAnsi="Times New Roman" w:eastAsia="仿宋" w:cs="仿宋"/>
          <w:b/>
          <w:bCs/>
          <w:color w:val="000000"/>
          <w:kern w:val="2"/>
          <w:sz w:val="32"/>
          <w:szCs w:val="32"/>
          <w:shd w:val="clear" w:color="auto" w:fill="FFFFFF"/>
          <w:lang w:val="en-US" w:eastAsia="zh-CN"/>
        </w:rPr>
        <w:t xml:space="preserve">  </w:t>
      </w:r>
      <w:r>
        <w:rPr>
          <w:rStyle w:val="11"/>
          <w:rFonts w:hint="eastAsia" w:ascii="Times New Roman" w:hAnsi="Times New Roman" w:eastAsia="仿宋" w:cs="仿宋"/>
          <w:b/>
          <w:bCs/>
          <w:color w:val="000000"/>
          <w:kern w:val="2"/>
          <w:sz w:val="32"/>
          <w:szCs w:val="32"/>
          <w:shd w:val="clear" w:color="auto" w:fill="FFFFFF"/>
        </w:rPr>
        <w:t>【错误纠正】</w:t>
      </w:r>
      <w:r>
        <w:rPr>
          <w:rStyle w:val="11"/>
          <w:rFonts w:hint="eastAsia" w:ascii="Times New Roman" w:hAnsi="Times New Roman" w:eastAsia="仿宋" w:cs="仿宋"/>
          <w:color w:val="000000"/>
          <w:kern w:val="2"/>
          <w:sz w:val="32"/>
          <w:szCs w:val="32"/>
          <w:shd w:val="clear" w:color="auto" w:fill="FFFFFF"/>
        </w:rPr>
        <w:t>所在地市场监管部门通过核查发现失信行为事实认定及扣分或拟扣分情况存在错误的，应自查实之日起3个工作日内予以更正，告知经营者并将更正情况报告上一级市场监管部门。</w:t>
      </w:r>
    </w:p>
    <w:p>
      <w:pPr>
        <w:keepNext w:val="0"/>
        <w:keepLines w:val="0"/>
        <w:pageBreakBefore w:val="0"/>
        <w:tabs>
          <w:tab w:val="left" w:pos="540"/>
          <w:tab w:val="left" w:pos="720"/>
          <w:tab w:val="left" w:pos="900"/>
        </w:tabs>
        <w:kinsoku/>
        <w:wordWrap/>
        <w:overflowPunct/>
        <w:topLinePunct w:val="0"/>
        <w:autoSpaceDE/>
        <w:autoSpaceDN/>
        <w:bidi w:val="0"/>
        <w:adjustRightInd/>
        <w:snapToGrid/>
        <w:spacing w:line="590" w:lineRule="exact"/>
        <w:ind w:left="0" w:leftChars="0" w:right="0" w:rightChars="0" w:firstLine="666" w:firstLineChars="200"/>
        <w:jc w:val="center"/>
        <w:textAlignment w:val="auto"/>
        <w:outlineLvl w:val="9"/>
        <w:rPr>
          <w:rFonts w:hint="eastAsia" w:ascii="Times New Roman" w:hAnsi="Times New Roman" w:eastAsia="仿宋" w:cs="仿宋"/>
          <w:snapToGrid w:val="0"/>
          <w:color w:val="000000"/>
          <w:spacing w:val="-2"/>
          <w:kern w:val="0"/>
          <w:sz w:val="32"/>
          <w:szCs w:val="32"/>
        </w:rPr>
      </w:pPr>
    </w:p>
    <w:p>
      <w:pPr>
        <w:keepNext w:val="0"/>
        <w:keepLines w:val="0"/>
        <w:pageBreakBefore w:val="0"/>
        <w:tabs>
          <w:tab w:val="left" w:pos="540"/>
          <w:tab w:val="left" w:pos="720"/>
          <w:tab w:val="left" w:pos="900"/>
        </w:tabs>
        <w:kinsoku/>
        <w:wordWrap/>
        <w:overflowPunct/>
        <w:topLinePunct w:val="0"/>
        <w:autoSpaceDE/>
        <w:autoSpaceDN/>
        <w:bidi w:val="0"/>
        <w:adjustRightInd/>
        <w:snapToGrid/>
        <w:spacing w:line="590" w:lineRule="exact"/>
        <w:ind w:left="0" w:leftChars="0" w:right="0" w:rightChars="0" w:firstLine="666" w:firstLineChars="200"/>
        <w:jc w:val="center"/>
        <w:textAlignment w:val="auto"/>
        <w:outlineLvl w:val="9"/>
        <w:rPr>
          <w:rFonts w:hint="eastAsia" w:ascii="Times New Roman" w:hAnsi="Times New Roman" w:eastAsia="黑体" w:cs="黑体"/>
          <w:snapToGrid w:val="0"/>
          <w:color w:val="000000"/>
          <w:spacing w:val="-2"/>
          <w:kern w:val="0"/>
          <w:sz w:val="32"/>
          <w:szCs w:val="32"/>
        </w:rPr>
      </w:pPr>
      <w:r>
        <w:rPr>
          <w:rFonts w:hint="eastAsia" w:ascii="Times New Roman" w:hAnsi="Times New Roman" w:eastAsia="黑体" w:cs="黑体"/>
          <w:snapToGrid w:val="0"/>
          <w:color w:val="000000"/>
          <w:spacing w:val="-2"/>
          <w:kern w:val="0"/>
          <w:sz w:val="32"/>
          <w:szCs w:val="32"/>
        </w:rPr>
        <w:t>第三章  产品质量信用分类监管</w:t>
      </w:r>
    </w:p>
    <w:p>
      <w:pPr>
        <w:keepNext w:val="0"/>
        <w:keepLines w:val="0"/>
        <w:pageBreakBefore w:val="0"/>
        <w:kinsoku/>
        <w:wordWrap/>
        <w:overflowPunct/>
        <w:topLinePunct w:val="0"/>
        <w:autoSpaceDE/>
        <w:autoSpaceDN/>
        <w:bidi w:val="0"/>
        <w:adjustRightInd/>
        <w:snapToGrid/>
        <w:spacing w:line="590" w:lineRule="exact"/>
        <w:ind w:left="0" w:leftChars="0" w:right="0" w:rightChars="0"/>
        <w:textAlignment w:val="auto"/>
        <w:outlineLvl w:val="9"/>
        <w:rPr>
          <w:rFonts w:hint="eastAsia" w:ascii="Times New Roman" w:hAnsi="Times New Roman" w:eastAsia="仿宋" w:cs="仿宋"/>
          <w:color w:val="000000"/>
          <w:sz w:val="32"/>
          <w:szCs w:val="32"/>
        </w:rPr>
      </w:pPr>
    </w:p>
    <w:p>
      <w:pPr>
        <w:keepNext w:val="0"/>
        <w:keepLines w:val="0"/>
        <w:pageBreakBefore w:val="0"/>
        <w:tabs>
          <w:tab w:val="left" w:pos="540"/>
          <w:tab w:val="left" w:pos="720"/>
          <w:tab w:val="left" w:pos="900"/>
        </w:tabs>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b/>
          <w:bCs/>
          <w:color w:val="000000"/>
          <w:sz w:val="32"/>
          <w:szCs w:val="32"/>
        </w:rPr>
        <w:t>第二十六条</w:t>
      </w:r>
      <w:r>
        <w:rPr>
          <w:rFonts w:hint="eastAsia" w:ascii="Times New Roman" w:hAnsi="Times New Roman" w:eastAsia="仿宋" w:cs="仿宋"/>
          <w:b/>
          <w:bCs/>
          <w:color w:val="000000"/>
          <w:sz w:val="32"/>
          <w:szCs w:val="32"/>
          <w:lang w:val="en-US" w:eastAsia="zh-CN"/>
        </w:rPr>
        <w:t xml:space="preserve">  </w:t>
      </w:r>
      <w:r>
        <w:rPr>
          <w:rFonts w:hint="eastAsia" w:ascii="Times New Roman" w:hAnsi="Times New Roman" w:eastAsia="仿宋" w:cs="仿宋"/>
          <w:b/>
          <w:bCs/>
          <w:color w:val="000000"/>
          <w:sz w:val="32"/>
          <w:szCs w:val="32"/>
        </w:rPr>
        <w:t>【信用评价和监管分类】</w:t>
      </w:r>
      <w:r>
        <w:rPr>
          <w:rFonts w:hint="eastAsia" w:ascii="Times New Roman" w:hAnsi="Times New Roman" w:eastAsia="仿宋" w:cs="仿宋"/>
          <w:color w:val="000000"/>
          <w:sz w:val="32"/>
          <w:szCs w:val="32"/>
        </w:rPr>
        <w:t>根据质量信用得分，广东省产品质量监管系统自动对记分对象进行动态记分、评价和分类。质量信用分为12分以上的，评为I类；高于6分不满12分的，评为</w:t>
      </w:r>
      <w:r>
        <w:rPr>
          <w:rFonts w:hint="eastAsia" w:ascii="Times New Roman" w:hAnsi="Times New Roman" w:eastAsia="仿宋" w:cs="仿宋"/>
          <w:color w:val="000000"/>
          <w:sz w:val="32"/>
          <w:szCs w:val="32"/>
          <w:lang w:eastAsia="ja-JP"/>
        </w:rPr>
        <w:t>Ⅱ</w:t>
      </w:r>
      <w:r>
        <w:rPr>
          <w:rFonts w:hint="eastAsia" w:ascii="Times New Roman" w:hAnsi="Times New Roman" w:eastAsia="仿宋" w:cs="仿宋"/>
          <w:color w:val="000000"/>
          <w:sz w:val="32"/>
          <w:szCs w:val="32"/>
        </w:rPr>
        <w:t>类；高于0分且6分以下的，评为Ⅲ类；为0分的，评为Ⅳ类。</w:t>
      </w:r>
    </w:p>
    <w:p>
      <w:pPr>
        <w:keepNext w:val="0"/>
        <w:keepLines w:val="0"/>
        <w:pageBreakBefore w:val="0"/>
        <w:tabs>
          <w:tab w:val="left" w:pos="540"/>
          <w:tab w:val="left" w:pos="720"/>
          <w:tab w:val="left" w:pos="900"/>
        </w:tabs>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对记分对象的分类监管，以</w:t>
      </w:r>
      <w:r>
        <w:rPr>
          <w:rFonts w:hint="eastAsia" w:ascii="Times New Roman" w:hAnsi="Times New Roman" w:eastAsia="仿宋" w:cs="仿宋"/>
          <w:bCs/>
          <w:color w:val="000000"/>
          <w:sz w:val="32"/>
          <w:szCs w:val="32"/>
        </w:rPr>
        <w:t>最近180日内质量信用最低得分对应的信用评价类别为准。</w:t>
      </w:r>
    </w:p>
    <w:p>
      <w:pPr>
        <w:keepNext w:val="0"/>
        <w:keepLines w:val="0"/>
        <w:pageBreakBefore w:val="0"/>
        <w:tabs>
          <w:tab w:val="left" w:pos="540"/>
          <w:tab w:val="left" w:pos="720"/>
          <w:tab w:val="left" w:pos="900"/>
        </w:tabs>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b/>
          <w:bCs/>
          <w:color w:val="000000"/>
          <w:sz w:val="32"/>
          <w:szCs w:val="32"/>
        </w:rPr>
        <w:t>第二十七条</w:t>
      </w:r>
      <w:r>
        <w:rPr>
          <w:rFonts w:hint="eastAsia" w:ascii="Times New Roman" w:hAnsi="Times New Roman" w:eastAsia="仿宋" w:cs="仿宋"/>
          <w:b/>
          <w:bCs/>
          <w:color w:val="000000"/>
          <w:sz w:val="32"/>
          <w:szCs w:val="32"/>
          <w:lang w:val="en-US" w:eastAsia="zh-CN"/>
        </w:rPr>
        <w:t xml:space="preserve">  </w:t>
      </w:r>
      <w:r>
        <w:rPr>
          <w:rFonts w:hint="eastAsia" w:ascii="Times New Roman" w:hAnsi="Times New Roman" w:eastAsia="仿宋" w:cs="仿宋"/>
          <w:b/>
          <w:bCs/>
          <w:color w:val="000000"/>
          <w:sz w:val="32"/>
          <w:szCs w:val="32"/>
        </w:rPr>
        <w:t>【分类监管模式】</w:t>
      </w:r>
      <w:r>
        <w:rPr>
          <w:rFonts w:hint="eastAsia" w:ascii="Times New Roman" w:hAnsi="Times New Roman" w:eastAsia="仿宋" w:cs="仿宋"/>
          <w:color w:val="000000"/>
          <w:sz w:val="32"/>
          <w:szCs w:val="32"/>
        </w:rPr>
        <w:t>记分对象的</w:t>
      </w:r>
      <w:r>
        <w:rPr>
          <w:rFonts w:hint="eastAsia" w:ascii="Times New Roman" w:hAnsi="Times New Roman" w:eastAsia="仿宋" w:cs="仿宋"/>
          <w:bCs/>
          <w:color w:val="000000"/>
          <w:sz w:val="32"/>
          <w:szCs w:val="32"/>
        </w:rPr>
        <w:t>四类记分结果</w:t>
      </w:r>
      <w:r>
        <w:rPr>
          <w:rFonts w:hint="eastAsia" w:ascii="Times New Roman" w:hAnsi="Times New Roman" w:eastAsia="仿宋" w:cs="仿宋"/>
          <w:color w:val="000000"/>
          <w:sz w:val="32"/>
          <w:szCs w:val="32"/>
        </w:rPr>
        <w:t>分别对应下列四种监管模式：</w:t>
      </w:r>
    </w:p>
    <w:p>
      <w:pPr>
        <w:pStyle w:val="12"/>
        <w:keepNext w:val="0"/>
        <w:keepLines w:val="0"/>
        <w:pageBreakBefore w:val="0"/>
        <w:numPr>
          <w:ilvl w:val="0"/>
          <w:numId w:val="0"/>
        </w:numPr>
        <w:tabs>
          <w:tab w:val="left" w:pos="540"/>
          <w:tab w:val="left" w:pos="720"/>
          <w:tab w:val="left" w:pos="900"/>
        </w:tabs>
        <w:kinsoku/>
        <w:wordWrap/>
        <w:overflowPunct/>
        <w:topLinePunct w:val="0"/>
        <w:autoSpaceDE/>
        <w:autoSpaceDN/>
        <w:bidi w:val="0"/>
        <w:adjustRightInd/>
        <w:snapToGrid/>
        <w:spacing w:line="590" w:lineRule="exact"/>
        <w:ind w:left="0" w:leftChars="0" w:right="0" w:rightChars="0" w:firstLine="64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（一）对I类记分对象实施一般监管。重点监督落实质量主体责任情况。</w:t>
      </w:r>
    </w:p>
    <w:p>
      <w:pPr>
        <w:pStyle w:val="12"/>
        <w:keepNext w:val="0"/>
        <w:keepLines w:val="0"/>
        <w:pageBreakBefore w:val="0"/>
        <w:numPr>
          <w:ilvl w:val="0"/>
          <w:numId w:val="0"/>
        </w:numPr>
        <w:tabs>
          <w:tab w:val="left" w:pos="540"/>
          <w:tab w:val="left" w:pos="720"/>
          <w:tab w:val="left" w:pos="900"/>
        </w:tabs>
        <w:kinsoku/>
        <w:wordWrap/>
        <w:overflowPunct/>
        <w:topLinePunct w:val="0"/>
        <w:autoSpaceDE/>
        <w:autoSpaceDN/>
        <w:bidi w:val="0"/>
        <w:adjustRightInd/>
        <w:snapToGrid/>
        <w:spacing w:line="590" w:lineRule="exact"/>
        <w:ind w:left="0" w:leftChars="0" w:right="0" w:rightChars="0" w:firstLine="64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（二）对</w:t>
      </w:r>
      <w:r>
        <w:rPr>
          <w:rFonts w:hint="eastAsia" w:ascii="Times New Roman" w:hAnsi="Times New Roman" w:eastAsia="仿宋" w:cs="仿宋"/>
          <w:color w:val="000000"/>
          <w:sz w:val="32"/>
          <w:szCs w:val="32"/>
          <w:lang w:eastAsia="ja-JP"/>
        </w:rPr>
        <w:t>Ⅱ</w:t>
      </w:r>
      <w:r>
        <w:rPr>
          <w:rFonts w:hint="eastAsia" w:ascii="Times New Roman" w:hAnsi="Times New Roman" w:eastAsia="仿宋" w:cs="仿宋"/>
          <w:color w:val="000000"/>
          <w:sz w:val="32"/>
          <w:szCs w:val="32"/>
        </w:rPr>
        <w:t>类记分对象实施跟踪监管。重点对出现的质量相关问题进行跟踪检查，监督其整改落实。</w:t>
      </w:r>
    </w:p>
    <w:p>
      <w:pPr>
        <w:pStyle w:val="12"/>
        <w:keepNext w:val="0"/>
        <w:keepLines w:val="0"/>
        <w:pageBreakBefore w:val="0"/>
        <w:numPr>
          <w:ilvl w:val="0"/>
          <w:numId w:val="0"/>
        </w:numPr>
        <w:tabs>
          <w:tab w:val="left" w:pos="540"/>
          <w:tab w:val="left" w:pos="720"/>
          <w:tab w:val="left" w:pos="900"/>
        </w:tabs>
        <w:kinsoku/>
        <w:wordWrap/>
        <w:overflowPunct/>
        <w:topLinePunct w:val="0"/>
        <w:autoSpaceDE/>
        <w:autoSpaceDN/>
        <w:bidi w:val="0"/>
        <w:adjustRightInd/>
        <w:snapToGrid/>
        <w:spacing w:line="590" w:lineRule="exact"/>
        <w:ind w:left="0" w:leftChars="0" w:right="0" w:rightChars="0" w:firstLine="64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（三）对Ⅲ类记分对象实施重点监管。将相关记分对象纳入重点监管名单，加大抽检频次；对相关经营者发出监管警示，并及时进行约谈指导</w:t>
      </w:r>
      <w:r>
        <w:rPr>
          <w:rStyle w:val="11"/>
          <w:rFonts w:hint="eastAsia" w:ascii="Times New Roman" w:hAnsi="Times New Roman" w:eastAsia="仿宋" w:cs="仿宋"/>
          <w:color w:val="000000"/>
          <w:sz w:val="32"/>
          <w:szCs w:val="32"/>
        </w:rPr>
        <w:t>。</w:t>
      </w:r>
    </w:p>
    <w:p>
      <w:pPr>
        <w:pStyle w:val="12"/>
        <w:keepNext w:val="0"/>
        <w:keepLines w:val="0"/>
        <w:pageBreakBefore w:val="0"/>
        <w:widowControl/>
        <w:numPr>
          <w:ilvl w:val="0"/>
          <w:numId w:val="0"/>
        </w:numPr>
        <w:tabs>
          <w:tab w:val="left" w:pos="540"/>
          <w:tab w:val="left" w:pos="720"/>
          <w:tab w:val="left" w:pos="900"/>
        </w:tabs>
        <w:kinsoku/>
        <w:wordWrap/>
        <w:overflowPunct/>
        <w:topLinePunct w:val="0"/>
        <w:autoSpaceDE/>
        <w:autoSpaceDN/>
        <w:bidi w:val="0"/>
        <w:adjustRightInd/>
        <w:snapToGrid/>
        <w:spacing w:line="590" w:lineRule="exact"/>
        <w:ind w:left="0" w:leftChars="0" w:right="0" w:rightChars="0" w:firstLine="640"/>
        <w:textAlignment w:val="auto"/>
        <w:outlineLvl w:val="9"/>
        <w:rPr>
          <w:rStyle w:val="11"/>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（四）对Ⅳ类记分对象实施黑名单监管。将记分对象纳入失信黑名单，并依法采取相应监管措施。</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b/>
          <w:bCs/>
          <w:color w:val="000000"/>
          <w:sz w:val="32"/>
          <w:szCs w:val="32"/>
        </w:rPr>
        <w:t>第二十八条</w:t>
      </w:r>
      <w:r>
        <w:rPr>
          <w:rFonts w:hint="eastAsia" w:ascii="Times New Roman" w:hAnsi="Times New Roman" w:eastAsia="仿宋" w:cs="仿宋"/>
          <w:b/>
          <w:bCs/>
          <w:color w:val="000000"/>
          <w:sz w:val="32"/>
          <w:szCs w:val="32"/>
          <w:lang w:val="en-US" w:eastAsia="zh-CN"/>
        </w:rPr>
        <w:t xml:space="preserve">  </w:t>
      </w:r>
      <w:r>
        <w:rPr>
          <w:rFonts w:hint="eastAsia" w:ascii="Times New Roman" w:hAnsi="Times New Roman" w:eastAsia="仿宋" w:cs="仿宋"/>
          <w:b/>
          <w:bCs/>
          <w:color w:val="000000"/>
          <w:sz w:val="32"/>
          <w:szCs w:val="32"/>
        </w:rPr>
        <w:t>【禁止性条款】</w:t>
      </w:r>
      <w:r>
        <w:rPr>
          <w:rFonts w:hint="eastAsia" w:ascii="Times New Roman" w:hAnsi="Times New Roman" w:eastAsia="仿宋" w:cs="仿宋"/>
          <w:color w:val="000000"/>
          <w:sz w:val="32"/>
          <w:szCs w:val="32"/>
        </w:rPr>
        <w:t>经营者或其他利益相关方不得将产品质量信用等级划分结果印制于产品标识，不得用于广告、宣传等商业目的。</w:t>
      </w:r>
    </w:p>
    <w:p>
      <w:pPr>
        <w:keepNext w:val="0"/>
        <w:keepLines w:val="0"/>
        <w:pageBreakBefore w:val="0"/>
        <w:tabs>
          <w:tab w:val="left" w:pos="540"/>
          <w:tab w:val="left" w:pos="720"/>
          <w:tab w:val="left" w:pos="900"/>
        </w:tabs>
        <w:kinsoku/>
        <w:wordWrap/>
        <w:overflowPunct/>
        <w:topLinePunct w:val="0"/>
        <w:autoSpaceDE/>
        <w:autoSpaceDN/>
        <w:bidi w:val="0"/>
        <w:adjustRightInd/>
        <w:snapToGrid/>
        <w:spacing w:line="590" w:lineRule="exact"/>
        <w:ind w:left="0" w:leftChars="0" w:right="0" w:rightChars="0"/>
        <w:textAlignment w:val="auto"/>
        <w:outlineLvl w:val="9"/>
        <w:rPr>
          <w:rFonts w:hint="eastAsia" w:ascii="Times New Roman" w:hAnsi="Times New Roman" w:eastAsia="黑体" w:cs="黑体"/>
          <w:snapToGrid w:val="0"/>
          <w:color w:val="000000"/>
          <w:spacing w:val="-2"/>
          <w:kern w:val="0"/>
          <w:sz w:val="32"/>
          <w:szCs w:val="32"/>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jc w:val="center"/>
        <w:textAlignment w:val="auto"/>
        <w:outlineLvl w:val="9"/>
        <w:rPr>
          <w:rFonts w:hint="eastAsia" w:ascii="Times New Roman" w:hAnsi="Times New Roman" w:eastAsia="黑体" w:cs="黑体"/>
          <w:snapToGrid w:val="0"/>
          <w:color w:val="000000"/>
          <w:spacing w:val="-2"/>
          <w:kern w:val="0"/>
          <w:sz w:val="32"/>
          <w:szCs w:val="32"/>
        </w:rPr>
      </w:pPr>
      <w:r>
        <w:rPr>
          <w:rFonts w:hint="eastAsia" w:ascii="Times New Roman" w:hAnsi="Times New Roman" w:eastAsia="黑体" w:cs="黑体"/>
          <w:snapToGrid w:val="0"/>
          <w:color w:val="000000"/>
          <w:spacing w:val="-2"/>
          <w:kern w:val="0"/>
          <w:sz w:val="32"/>
          <w:szCs w:val="32"/>
        </w:rPr>
        <w:t>第四章</w:t>
      </w:r>
      <w:r>
        <w:rPr>
          <w:rStyle w:val="11"/>
          <w:rFonts w:hint="eastAsia" w:ascii="Times New Roman" w:hAnsi="Times New Roman" w:eastAsia="黑体" w:cs="黑体"/>
          <w:snapToGrid w:val="0"/>
          <w:color w:val="000000"/>
          <w:spacing w:val="-2"/>
          <w:kern w:val="0"/>
          <w:sz w:val="32"/>
          <w:szCs w:val="32"/>
        </w:rPr>
        <w:t>　产品质量失信惩戒</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textAlignment w:val="auto"/>
        <w:outlineLvl w:val="9"/>
        <w:rPr>
          <w:rFonts w:hint="eastAsia" w:ascii="Times New Roman" w:hAnsi="Times New Roman" w:eastAsia="仿宋" w:cs="仿宋"/>
          <w:snapToGrid w:val="0"/>
          <w:color w:val="000000"/>
          <w:spacing w:val="-2"/>
          <w:kern w:val="0"/>
          <w:sz w:val="32"/>
          <w:szCs w:val="32"/>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Style w:val="11"/>
          <w:rFonts w:hint="eastAsia" w:ascii="Times New Roman" w:hAnsi="Times New Roman" w:eastAsia="仿宋" w:cs="仿宋"/>
          <w:color w:val="000000"/>
          <w:sz w:val="32"/>
          <w:szCs w:val="32"/>
        </w:rPr>
      </w:pPr>
      <w:r>
        <w:rPr>
          <w:rStyle w:val="11"/>
          <w:rFonts w:hint="eastAsia" w:ascii="Times New Roman" w:hAnsi="Times New Roman" w:eastAsia="仿宋" w:cs="仿宋"/>
          <w:b/>
          <w:bCs/>
          <w:color w:val="000000"/>
          <w:sz w:val="32"/>
          <w:szCs w:val="32"/>
        </w:rPr>
        <w:t>第二十九条</w:t>
      </w:r>
      <w:r>
        <w:rPr>
          <w:rStyle w:val="11"/>
          <w:rFonts w:hint="eastAsia" w:ascii="Times New Roman" w:hAnsi="Times New Roman" w:eastAsia="仿宋" w:cs="仿宋"/>
          <w:b/>
          <w:bCs/>
          <w:color w:val="000000"/>
          <w:sz w:val="32"/>
          <w:szCs w:val="32"/>
          <w:lang w:val="en-US" w:eastAsia="zh-CN"/>
        </w:rPr>
        <w:t xml:space="preserve">  </w:t>
      </w:r>
      <w:r>
        <w:rPr>
          <w:rStyle w:val="11"/>
          <w:rFonts w:hint="eastAsia" w:ascii="Times New Roman" w:hAnsi="Times New Roman" w:eastAsia="仿宋" w:cs="仿宋"/>
          <w:b/>
          <w:bCs/>
          <w:color w:val="000000"/>
          <w:sz w:val="32"/>
          <w:szCs w:val="32"/>
        </w:rPr>
        <w:t>【依法公布失信行为】</w:t>
      </w:r>
      <w:r>
        <w:rPr>
          <w:rStyle w:val="11"/>
          <w:rFonts w:hint="eastAsia" w:ascii="Times New Roman" w:hAnsi="Times New Roman" w:eastAsia="仿宋" w:cs="仿宋"/>
          <w:color w:val="000000"/>
          <w:sz w:val="32"/>
          <w:szCs w:val="32"/>
        </w:rPr>
        <w:t>省局依法对包括列入失信黑名单的产品、经营者及其违法违规的行为（记录）定期向社会公布。</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Style w:val="11"/>
          <w:rFonts w:hint="eastAsia" w:ascii="Times New Roman" w:hAnsi="Times New Roman" w:eastAsia="仿宋" w:cs="仿宋"/>
          <w:color w:val="000000"/>
          <w:sz w:val="32"/>
          <w:szCs w:val="32"/>
        </w:rPr>
      </w:pPr>
      <w:r>
        <w:rPr>
          <w:rStyle w:val="11"/>
          <w:rFonts w:hint="eastAsia" w:ascii="Times New Roman" w:hAnsi="Times New Roman" w:eastAsia="仿宋" w:cs="仿宋"/>
          <w:b/>
          <w:bCs/>
          <w:color w:val="000000"/>
          <w:sz w:val="32"/>
          <w:szCs w:val="32"/>
        </w:rPr>
        <w:t>第三十条</w:t>
      </w:r>
      <w:r>
        <w:rPr>
          <w:rStyle w:val="11"/>
          <w:rFonts w:hint="eastAsia" w:ascii="Times New Roman" w:hAnsi="Times New Roman" w:eastAsia="仿宋" w:cs="仿宋"/>
          <w:b/>
          <w:bCs/>
          <w:color w:val="000000"/>
          <w:sz w:val="32"/>
          <w:szCs w:val="32"/>
          <w:lang w:val="en-US" w:eastAsia="zh-CN"/>
        </w:rPr>
        <w:t xml:space="preserve">  </w:t>
      </w:r>
      <w:r>
        <w:rPr>
          <w:rStyle w:val="11"/>
          <w:rFonts w:hint="eastAsia" w:ascii="Times New Roman" w:hAnsi="Times New Roman" w:eastAsia="仿宋" w:cs="仿宋"/>
          <w:b/>
          <w:bCs/>
          <w:color w:val="000000"/>
          <w:sz w:val="32"/>
          <w:szCs w:val="32"/>
        </w:rPr>
        <w:t>【实施联合惩戒】</w:t>
      </w:r>
      <w:r>
        <w:rPr>
          <w:rStyle w:val="11"/>
          <w:rFonts w:hint="eastAsia" w:ascii="Times New Roman" w:hAnsi="Times New Roman" w:eastAsia="仿宋" w:cs="仿宋"/>
          <w:color w:val="000000"/>
          <w:sz w:val="32"/>
          <w:szCs w:val="32"/>
        </w:rPr>
        <w:t>市场监管部门应与发改、工信、税务、科技、金融、建设、教育、卫生等有关部门建立信息共享机制和失信联合惩戒机制，及时通报经营者质量失信信息，促使相关部门在政府采购、公共服务、行政审批和市场准入、融资授信、资金补贴、项目申报、评优奖励等事项中落实失信惩戒措施。</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Style w:val="11"/>
          <w:rFonts w:hint="eastAsia" w:ascii="Times New Roman" w:hAnsi="Times New Roman" w:eastAsia="仿宋" w:cs="仿宋"/>
          <w:color w:val="000000"/>
          <w:sz w:val="32"/>
          <w:szCs w:val="32"/>
        </w:rPr>
      </w:pPr>
      <w:r>
        <w:rPr>
          <w:rStyle w:val="11"/>
          <w:rFonts w:hint="eastAsia" w:ascii="Times New Roman" w:hAnsi="Times New Roman" w:eastAsia="仿宋" w:cs="仿宋"/>
          <w:b/>
          <w:bCs/>
          <w:color w:val="000000"/>
          <w:sz w:val="32"/>
          <w:szCs w:val="32"/>
        </w:rPr>
        <w:t>第三十一条</w:t>
      </w:r>
      <w:r>
        <w:rPr>
          <w:rStyle w:val="11"/>
          <w:rFonts w:hint="eastAsia" w:ascii="Times New Roman" w:hAnsi="Times New Roman" w:eastAsia="仿宋" w:cs="仿宋"/>
          <w:b/>
          <w:bCs/>
          <w:color w:val="000000"/>
          <w:sz w:val="32"/>
          <w:szCs w:val="32"/>
          <w:lang w:val="en-US" w:eastAsia="zh-CN"/>
        </w:rPr>
        <w:t xml:space="preserve">  </w:t>
      </w:r>
      <w:r>
        <w:rPr>
          <w:rStyle w:val="11"/>
          <w:rFonts w:hint="eastAsia" w:ascii="Times New Roman" w:hAnsi="Times New Roman" w:eastAsia="仿宋" w:cs="仿宋"/>
          <w:b/>
          <w:bCs/>
          <w:color w:val="000000"/>
          <w:sz w:val="32"/>
          <w:szCs w:val="32"/>
        </w:rPr>
        <w:t>【行业通报】</w:t>
      </w:r>
      <w:r>
        <w:rPr>
          <w:rFonts w:hint="eastAsia" w:ascii="Times New Roman" w:hAnsi="Times New Roman" w:eastAsia="仿宋" w:cs="仿宋"/>
          <w:color w:val="000000"/>
          <w:sz w:val="32"/>
          <w:szCs w:val="32"/>
        </w:rPr>
        <w:t>市场监管部门应将严重失信名单通报给经营者所在行业协会、销售平台等，督促加强行业自律和联合监督。</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Style w:val="11"/>
          <w:rFonts w:hint="eastAsia" w:ascii="Times New Roman" w:hAnsi="Times New Roman" w:eastAsia="仿宋" w:cs="仿宋"/>
          <w:color w:val="000000"/>
          <w:sz w:val="32"/>
          <w:szCs w:val="32"/>
        </w:rPr>
      </w:pPr>
      <w:r>
        <w:rPr>
          <w:rStyle w:val="11"/>
          <w:rFonts w:hint="eastAsia" w:ascii="Times New Roman" w:hAnsi="Times New Roman" w:eastAsia="仿宋" w:cs="仿宋"/>
          <w:b/>
          <w:bCs/>
          <w:color w:val="000000"/>
          <w:sz w:val="32"/>
          <w:szCs w:val="32"/>
        </w:rPr>
        <w:t>第三十二条</w:t>
      </w:r>
      <w:r>
        <w:rPr>
          <w:rStyle w:val="11"/>
          <w:rFonts w:hint="eastAsia" w:ascii="Times New Roman" w:hAnsi="Times New Roman" w:eastAsia="仿宋" w:cs="仿宋"/>
          <w:b/>
          <w:bCs/>
          <w:color w:val="000000"/>
          <w:sz w:val="32"/>
          <w:szCs w:val="32"/>
          <w:lang w:val="en-US" w:eastAsia="zh-CN"/>
        </w:rPr>
        <w:t xml:space="preserve">  </w:t>
      </w:r>
      <w:r>
        <w:rPr>
          <w:rStyle w:val="11"/>
          <w:rFonts w:hint="eastAsia" w:ascii="Times New Roman" w:hAnsi="Times New Roman" w:eastAsia="仿宋" w:cs="仿宋"/>
          <w:b/>
          <w:bCs/>
          <w:color w:val="000000"/>
          <w:sz w:val="32"/>
          <w:szCs w:val="32"/>
        </w:rPr>
        <w:t>【社会监督】</w:t>
      </w:r>
      <w:r>
        <w:rPr>
          <w:rStyle w:val="11"/>
          <w:rFonts w:hint="eastAsia" w:ascii="Times New Roman" w:hAnsi="Times New Roman" w:eastAsia="仿宋" w:cs="仿宋"/>
          <w:bCs/>
          <w:color w:val="000000"/>
          <w:sz w:val="32"/>
          <w:szCs w:val="32"/>
        </w:rPr>
        <w:t>产品质量</w:t>
      </w:r>
      <w:r>
        <w:rPr>
          <w:rStyle w:val="11"/>
          <w:rFonts w:hint="eastAsia" w:ascii="Times New Roman" w:hAnsi="Times New Roman" w:eastAsia="仿宋" w:cs="仿宋"/>
          <w:color w:val="000000"/>
          <w:sz w:val="32"/>
          <w:szCs w:val="32"/>
        </w:rPr>
        <w:t>信用分类监管工作接受媒体和社会监督。</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Style w:val="11"/>
          <w:rFonts w:hint="eastAsia" w:ascii="Times New Roman" w:hAnsi="Times New Roman" w:eastAsia="仿宋" w:cs="仿宋"/>
          <w:color w:val="000000"/>
          <w:sz w:val="32"/>
          <w:szCs w:val="32"/>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jc w:val="center"/>
        <w:textAlignment w:val="auto"/>
        <w:outlineLvl w:val="9"/>
        <w:rPr>
          <w:rFonts w:hint="eastAsia" w:ascii="Times New Roman" w:hAnsi="Times New Roman" w:eastAsia="黑体" w:cs="黑体"/>
          <w:snapToGrid w:val="0"/>
          <w:color w:val="000000"/>
          <w:spacing w:val="-2"/>
          <w:kern w:val="0"/>
          <w:sz w:val="32"/>
          <w:szCs w:val="32"/>
        </w:rPr>
      </w:pPr>
      <w:r>
        <w:rPr>
          <w:rFonts w:hint="eastAsia" w:ascii="Times New Roman" w:hAnsi="Times New Roman" w:eastAsia="黑体" w:cs="黑体"/>
          <w:snapToGrid w:val="0"/>
          <w:color w:val="000000"/>
          <w:spacing w:val="-2"/>
          <w:kern w:val="0"/>
          <w:sz w:val="32"/>
          <w:szCs w:val="32"/>
        </w:rPr>
        <w:t>第五章</w:t>
      </w:r>
      <w:r>
        <w:rPr>
          <w:rStyle w:val="11"/>
          <w:rFonts w:hint="eastAsia" w:ascii="Times New Roman" w:hAnsi="Times New Roman" w:eastAsia="黑体" w:cs="黑体"/>
          <w:snapToGrid w:val="0"/>
          <w:color w:val="000000"/>
          <w:spacing w:val="-2"/>
          <w:kern w:val="0"/>
          <w:sz w:val="32"/>
          <w:szCs w:val="32"/>
        </w:rPr>
        <w:t>　责任追究</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Style w:val="11"/>
          <w:rFonts w:hint="eastAsia" w:ascii="Times New Roman" w:hAnsi="Times New Roman" w:eastAsia="仿宋" w:cs="仿宋"/>
          <w:color w:val="000000"/>
          <w:sz w:val="32"/>
          <w:szCs w:val="32"/>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Style w:val="11"/>
          <w:rFonts w:hint="eastAsia" w:ascii="Times New Roman" w:hAnsi="Times New Roman" w:eastAsia="仿宋" w:cs="仿宋"/>
          <w:bCs/>
          <w:color w:val="000000"/>
          <w:sz w:val="32"/>
          <w:szCs w:val="32"/>
        </w:rPr>
      </w:pPr>
      <w:r>
        <w:rPr>
          <w:rStyle w:val="11"/>
          <w:rFonts w:hint="eastAsia" w:ascii="Times New Roman" w:hAnsi="Times New Roman" w:eastAsia="仿宋" w:cs="仿宋"/>
          <w:b/>
          <w:bCs/>
          <w:color w:val="000000"/>
          <w:sz w:val="32"/>
          <w:szCs w:val="32"/>
          <w:shd w:val="clear" w:color="auto" w:fill="FFFFFF"/>
        </w:rPr>
        <w:t>第三十三条</w:t>
      </w:r>
      <w:r>
        <w:rPr>
          <w:rStyle w:val="11"/>
          <w:rFonts w:hint="eastAsia" w:ascii="Times New Roman" w:hAnsi="Times New Roman" w:eastAsia="仿宋" w:cs="仿宋"/>
          <w:b/>
          <w:bCs/>
          <w:color w:val="000000"/>
          <w:sz w:val="32"/>
          <w:szCs w:val="32"/>
          <w:shd w:val="clear" w:color="auto" w:fill="FFFFFF"/>
          <w:lang w:val="en-US" w:eastAsia="zh-CN"/>
        </w:rPr>
        <w:t xml:space="preserve">  </w:t>
      </w:r>
      <w:r>
        <w:rPr>
          <w:rStyle w:val="11"/>
          <w:rFonts w:hint="eastAsia" w:ascii="Times New Roman" w:hAnsi="Times New Roman" w:eastAsia="仿宋" w:cs="仿宋"/>
          <w:b/>
          <w:bCs/>
          <w:color w:val="000000"/>
          <w:sz w:val="32"/>
          <w:szCs w:val="32"/>
          <w:shd w:val="clear" w:color="auto" w:fill="FFFFFF"/>
        </w:rPr>
        <w:t>【责任追究】</w:t>
      </w:r>
      <w:r>
        <w:rPr>
          <w:rStyle w:val="11"/>
          <w:rFonts w:hint="eastAsia" w:ascii="Times New Roman" w:hAnsi="Times New Roman" w:eastAsia="仿宋" w:cs="仿宋"/>
          <w:color w:val="000000"/>
          <w:sz w:val="32"/>
          <w:szCs w:val="32"/>
        </w:rPr>
        <w:t>负责或者参与产品质量信用监管的单位及其工作人员在信用记分等工作过程中违反本规范规定或存在其他违法违规情况的，由上级负责部门责令改正；情节严重的，对负有责任的主管人员和其他直接责任人员依照有关规定予以处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Style w:val="11"/>
          <w:rFonts w:hint="eastAsia" w:ascii="Times New Roman" w:hAnsi="Times New Roman" w:eastAsia="仿宋" w:cs="仿宋"/>
          <w:color w:val="000000"/>
          <w:sz w:val="32"/>
          <w:szCs w:val="32"/>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jc w:val="center"/>
        <w:textAlignment w:val="auto"/>
        <w:outlineLvl w:val="9"/>
        <w:rPr>
          <w:rFonts w:hint="eastAsia" w:ascii="Times New Roman" w:hAnsi="Times New Roman" w:eastAsia="黑体" w:cs="黑体"/>
          <w:snapToGrid w:val="0"/>
          <w:color w:val="000000"/>
          <w:spacing w:val="-2"/>
          <w:kern w:val="0"/>
          <w:sz w:val="32"/>
          <w:szCs w:val="32"/>
        </w:rPr>
      </w:pPr>
      <w:r>
        <w:rPr>
          <w:rFonts w:hint="eastAsia" w:ascii="Times New Roman" w:hAnsi="Times New Roman" w:eastAsia="黑体" w:cs="黑体"/>
          <w:snapToGrid w:val="0"/>
          <w:color w:val="000000"/>
          <w:spacing w:val="-2"/>
          <w:kern w:val="0"/>
          <w:sz w:val="32"/>
          <w:szCs w:val="32"/>
        </w:rPr>
        <w:t>第六章　附　则</w:t>
      </w:r>
    </w:p>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outlineLvl w:val="9"/>
        <w:rPr>
          <w:rFonts w:hint="eastAsia" w:ascii="Times New Roman" w:hAnsi="Times New Roman" w:eastAsia="仿宋" w:cs="仿宋"/>
          <w:color w:val="000000"/>
          <w:sz w:val="32"/>
          <w:szCs w:val="32"/>
        </w:rPr>
      </w:pPr>
    </w:p>
    <w:p>
      <w:pPr>
        <w:keepNext w:val="0"/>
        <w:keepLines w:val="0"/>
        <w:pageBreakBefore w:val="0"/>
        <w:tabs>
          <w:tab w:val="left" w:pos="540"/>
          <w:tab w:val="left" w:pos="720"/>
          <w:tab w:val="left" w:pos="900"/>
        </w:tabs>
        <w:kinsoku/>
        <w:wordWrap/>
        <w:overflowPunct/>
        <w:topLinePunct w:val="0"/>
        <w:autoSpaceDE/>
        <w:autoSpaceDN/>
        <w:bidi w:val="0"/>
        <w:adjustRightInd/>
        <w:snapToGrid/>
        <w:spacing w:line="590" w:lineRule="exact"/>
        <w:ind w:left="0" w:leftChars="0" w:right="0" w:rightChars="0" w:firstLine="666" w:firstLineChars="200"/>
        <w:textAlignment w:val="auto"/>
        <w:outlineLvl w:val="9"/>
        <w:rPr>
          <w:rStyle w:val="11"/>
          <w:rFonts w:hint="eastAsia" w:ascii="Times New Roman" w:hAnsi="Times New Roman" w:eastAsia="仿宋" w:cs="仿宋"/>
          <w:color w:val="000000"/>
          <w:sz w:val="32"/>
          <w:szCs w:val="32"/>
        </w:rPr>
      </w:pPr>
      <w:r>
        <w:rPr>
          <w:rFonts w:hint="eastAsia" w:ascii="Times New Roman" w:hAnsi="Times New Roman" w:eastAsia="仿宋" w:cs="仿宋"/>
          <w:b/>
          <w:snapToGrid w:val="0"/>
          <w:color w:val="000000"/>
          <w:spacing w:val="-2"/>
          <w:kern w:val="0"/>
          <w:sz w:val="32"/>
          <w:szCs w:val="32"/>
        </w:rPr>
        <w:t>第三十四条</w:t>
      </w:r>
      <w:r>
        <w:rPr>
          <w:rFonts w:hint="eastAsia" w:ascii="Times New Roman" w:hAnsi="Times New Roman" w:eastAsia="仿宋" w:cs="仿宋"/>
          <w:b/>
          <w:snapToGrid w:val="0"/>
          <w:color w:val="000000"/>
          <w:spacing w:val="-2"/>
          <w:kern w:val="0"/>
          <w:sz w:val="32"/>
          <w:szCs w:val="32"/>
          <w:lang w:val="en-US" w:eastAsia="zh-CN"/>
        </w:rPr>
        <w:t xml:space="preserve">  </w:t>
      </w:r>
      <w:r>
        <w:rPr>
          <w:rFonts w:hint="eastAsia" w:ascii="Times New Roman" w:hAnsi="Times New Roman" w:eastAsia="仿宋" w:cs="仿宋"/>
          <w:b/>
          <w:snapToGrid w:val="0"/>
          <w:color w:val="000000"/>
          <w:spacing w:val="-2"/>
          <w:kern w:val="0"/>
          <w:sz w:val="32"/>
          <w:szCs w:val="32"/>
        </w:rPr>
        <w:t>【补充解释】</w:t>
      </w:r>
      <w:r>
        <w:rPr>
          <w:rStyle w:val="11"/>
          <w:rFonts w:hint="eastAsia" w:ascii="Times New Roman" w:hAnsi="Times New Roman" w:eastAsia="仿宋" w:cs="仿宋"/>
          <w:color w:val="000000"/>
          <w:sz w:val="32"/>
          <w:szCs w:val="32"/>
        </w:rPr>
        <w:t>本规范规定的质量信用分类监管不代替相关法律法规规定的其他产品质量监督措施。</w:t>
      </w:r>
    </w:p>
    <w:p>
      <w:pPr>
        <w:keepNext w:val="0"/>
        <w:keepLines w:val="0"/>
        <w:pageBreakBefore w:val="0"/>
        <w:tabs>
          <w:tab w:val="left" w:pos="540"/>
          <w:tab w:val="left" w:pos="720"/>
          <w:tab w:val="left" w:pos="900"/>
        </w:tabs>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Style w:val="11"/>
          <w:rFonts w:hint="eastAsia" w:ascii="Times New Roman" w:hAnsi="Times New Roman" w:eastAsia="仿宋" w:cs="仿宋"/>
          <w:color w:val="000000"/>
          <w:sz w:val="32"/>
          <w:szCs w:val="32"/>
        </w:rPr>
      </w:pPr>
      <w:r>
        <w:rPr>
          <w:rStyle w:val="11"/>
          <w:rFonts w:hint="eastAsia" w:ascii="Times New Roman" w:hAnsi="Times New Roman" w:eastAsia="仿宋" w:cs="仿宋"/>
          <w:color w:val="000000"/>
          <w:sz w:val="32"/>
          <w:szCs w:val="32"/>
        </w:rPr>
        <w:t>本规范所称的“以上”和“以下”包括本数，“高于”和“不满”不包括本数。</w:t>
      </w:r>
    </w:p>
    <w:p>
      <w:pPr>
        <w:keepNext w:val="0"/>
        <w:keepLines w:val="0"/>
        <w:pageBreakBefore w:val="0"/>
        <w:tabs>
          <w:tab w:val="left" w:pos="540"/>
          <w:tab w:val="left" w:pos="720"/>
          <w:tab w:val="left" w:pos="900"/>
        </w:tabs>
        <w:kinsoku/>
        <w:wordWrap/>
        <w:overflowPunct/>
        <w:topLinePunct w:val="0"/>
        <w:autoSpaceDE/>
        <w:autoSpaceDN/>
        <w:bidi w:val="0"/>
        <w:adjustRightInd/>
        <w:snapToGrid/>
        <w:spacing w:line="590" w:lineRule="exact"/>
        <w:ind w:left="0" w:leftChars="0" w:right="0" w:rightChars="0" w:firstLine="666" w:firstLineChars="200"/>
        <w:textAlignment w:val="auto"/>
        <w:outlineLvl w:val="9"/>
        <w:rPr>
          <w:rStyle w:val="11"/>
          <w:rFonts w:hint="eastAsia" w:ascii="Times New Roman" w:hAnsi="Times New Roman" w:eastAsia="仿宋" w:cs="仿宋"/>
          <w:color w:val="000000"/>
          <w:sz w:val="32"/>
          <w:szCs w:val="32"/>
        </w:rPr>
      </w:pPr>
      <w:r>
        <w:rPr>
          <w:rFonts w:hint="eastAsia" w:ascii="Times New Roman" w:hAnsi="Times New Roman" w:eastAsia="仿宋" w:cs="仿宋"/>
          <w:b/>
          <w:snapToGrid w:val="0"/>
          <w:color w:val="000000"/>
          <w:spacing w:val="-2"/>
          <w:kern w:val="0"/>
          <w:sz w:val="32"/>
          <w:szCs w:val="32"/>
        </w:rPr>
        <w:t>第三十五条</w:t>
      </w:r>
      <w:r>
        <w:rPr>
          <w:rFonts w:hint="eastAsia" w:ascii="Times New Roman" w:hAnsi="Times New Roman" w:eastAsia="仿宋" w:cs="仿宋"/>
          <w:b/>
          <w:snapToGrid w:val="0"/>
          <w:color w:val="000000"/>
          <w:spacing w:val="-2"/>
          <w:kern w:val="0"/>
          <w:sz w:val="32"/>
          <w:szCs w:val="32"/>
          <w:lang w:val="en-US" w:eastAsia="zh-CN"/>
        </w:rPr>
        <w:t xml:space="preserve">  </w:t>
      </w:r>
      <w:r>
        <w:rPr>
          <w:rFonts w:hint="eastAsia" w:ascii="Times New Roman" w:hAnsi="Times New Roman" w:eastAsia="仿宋" w:cs="仿宋"/>
          <w:b/>
          <w:snapToGrid w:val="0"/>
          <w:color w:val="000000"/>
          <w:spacing w:val="-2"/>
          <w:kern w:val="0"/>
          <w:sz w:val="32"/>
          <w:szCs w:val="32"/>
        </w:rPr>
        <w:t>【解释主体】</w:t>
      </w:r>
      <w:r>
        <w:rPr>
          <w:rStyle w:val="11"/>
          <w:rFonts w:hint="eastAsia" w:ascii="Times New Roman" w:hAnsi="Times New Roman" w:eastAsia="仿宋" w:cs="仿宋"/>
          <w:color w:val="000000"/>
          <w:sz w:val="32"/>
          <w:szCs w:val="32"/>
        </w:rPr>
        <w:t>本规范由广东省市场监督管理局负责解释。</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66" w:firstLineChars="200"/>
        <w:textAlignment w:val="auto"/>
        <w:outlineLvl w:val="9"/>
        <w:rPr>
          <w:rStyle w:val="11"/>
          <w:rFonts w:hint="eastAsia" w:ascii="Times New Roman" w:hAnsi="Times New Roman" w:eastAsia="仿宋" w:cs="仿宋"/>
          <w:color w:val="000000"/>
          <w:sz w:val="32"/>
          <w:szCs w:val="32"/>
        </w:rPr>
      </w:pPr>
      <w:r>
        <w:rPr>
          <w:rFonts w:hint="eastAsia" w:ascii="Times New Roman" w:hAnsi="Times New Roman" w:eastAsia="仿宋" w:cs="仿宋"/>
          <w:b/>
          <w:snapToGrid w:val="0"/>
          <w:color w:val="000000"/>
          <w:spacing w:val="-2"/>
          <w:kern w:val="0"/>
          <w:sz w:val="32"/>
          <w:szCs w:val="32"/>
        </w:rPr>
        <w:t>第三十六条</w:t>
      </w:r>
      <w:r>
        <w:rPr>
          <w:rFonts w:hint="eastAsia" w:ascii="Times New Roman" w:hAnsi="Times New Roman" w:eastAsia="仿宋" w:cs="仿宋"/>
          <w:b/>
          <w:snapToGrid w:val="0"/>
          <w:color w:val="000000"/>
          <w:spacing w:val="-2"/>
          <w:kern w:val="0"/>
          <w:sz w:val="32"/>
          <w:szCs w:val="32"/>
          <w:lang w:val="en-US" w:eastAsia="zh-CN"/>
        </w:rPr>
        <w:t xml:space="preserve">  </w:t>
      </w:r>
      <w:r>
        <w:rPr>
          <w:rFonts w:hint="eastAsia" w:ascii="Times New Roman" w:hAnsi="Times New Roman" w:eastAsia="仿宋" w:cs="仿宋"/>
          <w:b/>
          <w:snapToGrid w:val="0"/>
          <w:color w:val="000000"/>
          <w:spacing w:val="-2"/>
          <w:kern w:val="0"/>
          <w:sz w:val="32"/>
          <w:szCs w:val="32"/>
        </w:rPr>
        <w:t>【实施时间及期限】</w:t>
      </w:r>
      <w:r>
        <w:rPr>
          <w:rStyle w:val="11"/>
          <w:rFonts w:hint="eastAsia" w:ascii="Times New Roman" w:hAnsi="Times New Roman" w:eastAsia="仿宋" w:cs="仿宋"/>
          <w:color w:val="000000"/>
          <w:sz w:val="32"/>
          <w:szCs w:val="32"/>
        </w:rPr>
        <w:t>本规范自2020年 月 日起实施，有效期5年。</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Style w:val="11"/>
          <w:rFonts w:hint="eastAsia" w:ascii="Times New Roman" w:hAnsi="Times New Roman" w:eastAsia="仿宋" w:cs="仿宋"/>
          <w:color w:val="000000"/>
          <w:sz w:val="32"/>
          <w:szCs w:val="32"/>
        </w:rPr>
      </w:pPr>
    </w:p>
    <w:p>
      <w:pPr>
        <w:spacing w:line="540" w:lineRule="exact"/>
        <w:ind w:firstLine="674" w:firstLineChars="200"/>
        <w:rPr>
          <w:rStyle w:val="11"/>
          <w:rFonts w:hint="eastAsia" w:ascii="Times New Roman" w:hAnsi="Times New Roman" w:eastAsia="仿宋" w:cs="仿宋"/>
          <w:color w:val="000000"/>
          <w:sz w:val="32"/>
          <w:szCs w:val="32"/>
        </w:rPr>
      </w:pPr>
    </w:p>
    <w:p>
      <w:pPr>
        <w:jc w:val="center"/>
        <w:rPr>
          <w:rFonts w:ascii="Times New Roman" w:hAnsi="Times New Roman" w:eastAsia="宋体" w:cs="宋体"/>
          <w:b/>
          <w:color w:val="000000"/>
          <w:kern w:val="0"/>
          <w:sz w:val="32"/>
          <w:szCs w:val="32"/>
          <w:lang w:bidi="ar"/>
        </w:rPr>
      </w:pPr>
    </w:p>
    <w:p>
      <w:pPr>
        <w:rPr>
          <w:rFonts w:hint="eastAsia" w:ascii="Times New Roman" w:hAnsi="Times New Roman" w:eastAsia="宋体" w:cs="宋体"/>
          <w:color w:val="000000"/>
          <w:lang w:val="en-US" w:eastAsia="zh-CN"/>
        </w:rPr>
      </w:pPr>
    </w:p>
    <w:p>
      <w:pPr>
        <w:rPr>
          <w:rFonts w:hint="eastAsia" w:ascii="Times New Roman" w:hAnsi="Times New Roman"/>
          <w:color w:val="000000"/>
          <w:szCs w:val="30"/>
        </w:rPr>
      </w:pPr>
    </w:p>
    <w:p>
      <w:pPr>
        <w:rPr>
          <w:rFonts w:hint="eastAsia" w:ascii="Times New Roman" w:hAnsi="Times New Roman"/>
          <w:color w:val="000000"/>
          <w:szCs w:val="30"/>
        </w:rPr>
      </w:pPr>
    </w:p>
    <w:p>
      <w:pPr>
        <w:rPr>
          <w:rFonts w:hint="eastAsia" w:ascii="Times New Roman" w:hAnsi="Times New Roman"/>
          <w:color w:val="000000"/>
          <w:szCs w:val="30"/>
        </w:rPr>
      </w:pPr>
    </w:p>
    <w:p>
      <w:pPr>
        <w:rPr>
          <w:rFonts w:hint="eastAsia" w:ascii="Times New Roman" w:hAnsi="Times New Roman"/>
          <w:color w:val="000000"/>
          <w:szCs w:val="30"/>
        </w:rPr>
      </w:pPr>
    </w:p>
    <w:p>
      <w:pPr>
        <w:rPr>
          <w:rFonts w:hint="eastAsia" w:ascii="Times New Roman" w:hAnsi="Times New Roman"/>
          <w:color w:val="000000"/>
          <w:szCs w:val="30"/>
        </w:rPr>
      </w:pPr>
    </w:p>
    <w:p>
      <w:pPr>
        <w:rPr>
          <w:rFonts w:hint="eastAsia" w:ascii="Times New Roman" w:hAnsi="Times New Roman" w:eastAsia="黑体" w:cs="黑体"/>
          <w:color w:val="000000"/>
          <w:sz w:val="32"/>
          <w:szCs w:val="32"/>
          <w:lang w:val="en-US" w:eastAsia="zh-CN"/>
        </w:rPr>
        <w:sectPr>
          <w:headerReference r:id="rId3" w:type="default"/>
          <w:footerReference r:id="rId4" w:type="default"/>
          <w:pgSz w:w="11907" w:h="16840"/>
          <w:pgMar w:top="2098" w:right="1418" w:bottom="1531" w:left="1588" w:header="851" w:footer="1304" w:gutter="0"/>
          <w:pgNumType w:fmt="decimal"/>
          <w:cols w:space="720" w:num="1"/>
          <w:docGrid w:type="linesAndChars" w:linePitch="592" w:charSpace="3664"/>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2"/>
      <w:spacing w:line="300" w:lineRule="exact"/>
      <w:ind w:left="0" w:leftChars="0" w:right="374" w:rightChars="117" w:firstLine="338" w:firstLineChars="121"/>
      <w:jc w:val="both"/>
      <w:rPr>
        <w:rStyle w:val="7"/>
        <w:spacing w:val="0"/>
      </w:rPr>
    </w:pP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rPr>
      <w:fldChar w:fldCharType="begin"/>
    </w:r>
    <w:r>
      <w:rPr>
        <w:rStyle w:val="7"/>
        <w:rFonts w:hint="eastAsia" w:ascii="宋体" w:hAnsi="宋体" w:eastAsia="宋体" w:cs="宋体"/>
        <w:spacing w:val="0"/>
        <w:sz w:val="28"/>
        <w:szCs w:val="28"/>
      </w:rPr>
      <w:instrText xml:space="preserve">PAGE  </w:instrText>
    </w:r>
    <w:r>
      <w:rPr>
        <w:rFonts w:hint="eastAsia" w:ascii="宋体" w:hAnsi="宋体" w:eastAsia="宋体" w:cs="宋体"/>
        <w:spacing w:val="0"/>
        <w:sz w:val="28"/>
        <w:szCs w:val="28"/>
      </w:rPr>
      <w:fldChar w:fldCharType="separate"/>
    </w:r>
    <w:r>
      <w:rPr>
        <w:rStyle w:val="7"/>
        <w:rFonts w:hint="eastAsia" w:ascii="宋体" w:hAnsi="宋体" w:eastAsia="宋体" w:cs="宋体"/>
        <w:spacing w:val="0"/>
        <w:sz w:val="28"/>
        <w:szCs w:val="28"/>
      </w:rPr>
      <w:t>1</w:t>
    </w:r>
    <w:r>
      <w:rPr>
        <w:rFonts w:hint="eastAsia" w:ascii="宋体" w:hAnsi="宋体" w:eastAsia="宋体" w:cs="宋体"/>
        <w:spacing w:val="0"/>
        <w:sz w:val="28"/>
        <w:szCs w:val="28"/>
      </w:rPr>
      <w:fldChar w:fldCharType="end"/>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pPr>
    <w:r>
      <w:rPr>
        <w:sz w:val="3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仿宋_GB2312"/>
                              <w:sz w:val="18"/>
                              <w:lang w:eastAsia="zh-CN"/>
                            </w:rPr>
                          </w:pP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LVvCrYBAABUAwAADgAAAGRycy9lMm9Eb2MueG1srVPNjtMwEL4j8Q6W&#10;7zTZSkUlaroCrRYhIUBa9gFcx24s+U8zbpO+ALwBJy7cea4+B2M36SK4IS7OeGb8zXzfTDa3o7Ps&#10;qABN8C2/WdScKS9DZ/y+5Y+f71+sOcMkfCds8KrlJ4X8dvv82WaIjVqGPthOASMQj80QW96nFJuq&#10;QtkrJ3ARovIU1AGcSHSFfdWBGAjd2WpZ1y+rIUAXIUiFSN67S5BvC77WSqaPWqNKzLacekvlhHLu&#10;8lltN6LZg4i9kVMb4h+6cMJ4KnqFuhNJsAOYv6CckRAw6LSQwVVBayNV4UBsbuo/2Dz0IqrChcTB&#10;eJUJ/x+s/HD8BMx0NDvOvHA0ovO3r+fvP88/vrBVlmeI2FDWQ6S8NL4JY06d/EjOzHrU4PKX+DCK&#10;k9Cnq7hqTEzmR+vlel1TSFJsvhBO9fQ8Aqa3KjiWjZYDTa+IKo7vMV1S55RczYd7Yy35RWM9G1r+&#10;arVclQ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Dy1&#10;bwq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仿宋_GB2312"/>
                        <w:sz w:val="18"/>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0444"/>
    <w:multiLevelType w:val="singleLevel"/>
    <w:tmpl w:val="09520444"/>
    <w:lvl w:ilvl="0" w:tentative="0">
      <w:start w:val="2"/>
      <w:numFmt w:val="chineseCounting"/>
      <w:suff w:val="nothing"/>
      <w:lvlText w:val="（%1）"/>
      <w:lvlJc w:val="left"/>
      <w:rPr>
        <w:rFonts w:hint="eastAsia"/>
      </w:rPr>
    </w:lvl>
  </w:abstractNum>
  <w:abstractNum w:abstractNumId="1">
    <w:nsid w:val="0B4D4162"/>
    <w:multiLevelType w:val="singleLevel"/>
    <w:tmpl w:val="0B4D4162"/>
    <w:lvl w:ilvl="0" w:tentative="0">
      <w:start w:val="1"/>
      <w:numFmt w:val="chineseCounting"/>
      <w:suff w:val="nothing"/>
      <w:lvlText w:val="（%1）"/>
      <w:lvlJc w:val="left"/>
      <w:rPr>
        <w:rFonts w:hint="eastAsia"/>
      </w:rPr>
    </w:lvl>
  </w:abstractNum>
  <w:abstractNum w:abstractNumId="2">
    <w:nsid w:val="5E5E4ED5"/>
    <w:multiLevelType w:val="singleLevel"/>
    <w:tmpl w:val="5E5E4ED5"/>
    <w:lvl w:ilvl="0" w:tentative="0">
      <w:start w:val="1"/>
      <w:numFmt w:val="chineseCounting"/>
      <w:suff w:val="nothing"/>
      <w:lvlText w:val="（%1）"/>
      <w:lvlJc w:val="left"/>
    </w:lvl>
  </w:abstractNum>
  <w:abstractNum w:abstractNumId="3">
    <w:nsid w:val="5E97F196"/>
    <w:multiLevelType w:val="singleLevel"/>
    <w:tmpl w:val="5E97F196"/>
    <w:lvl w:ilvl="0" w:tentative="0">
      <w:start w:val="2"/>
      <w:numFmt w:val="chineseCounting"/>
      <w:suff w:val="space"/>
      <w:lvlText w:val="第%1章"/>
      <w:lvlJc w:val="left"/>
    </w:lvl>
  </w:abstractNum>
  <w:abstractNum w:abstractNumId="4">
    <w:nsid w:val="5FEA5E90"/>
    <w:multiLevelType w:val="multilevel"/>
    <w:tmpl w:val="5FEA5E90"/>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3874F9"/>
    <w:rsid w:val="31FD5AF9"/>
    <w:rsid w:val="7F3874F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spacing w:line="240" w:lineRule="atLeast"/>
      <w:jc w:val="center"/>
    </w:pPr>
    <w:rPr>
      <w:sz w:val="18"/>
    </w:rPr>
  </w:style>
  <w:style w:type="paragraph" w:styleId="4">
    <w:name w:val="Normal (Web)"/>
    <w:basedOn w:val="1"/>
    <w:uiPriority w:val="0"/>
    <w:pPr>
      <w:spacing w:before="100" w:beforeAutospacing="1" w:after="100" w:afterAutospacing="1"/>
      <w:jc w:val="left"/>
    </w:pPr>
    <w:rPr>
      <w:kern w:val="0"/>
      <w:sz w:val="24"/>
    </w:rPr>
  </w:style>
  <w:style w:type="character" w:styleId="6">
    <w:name w:val="Strong"/>
    <w:qFormat/>
    <w:uiPriority w:val="0"/>
    <w:rPr>
      <w:b/>
    </w:rPr>
  </w:style>
  <w:style w:type="character" w:styleId="7">
    <w:name w:val="page number"/>
    <w:basedOn w:val="5"/>
    <w:uiPriority w:val="0"/>
  </w:style>
  <w:style w:type="character" w:customStyle="1" w:styleId="9">
    <w:name w:val="UserStyle_0"/>
    <w:qFormat/>
    <w:uiPriority w:val="0"/>
    <w:rPr>
      <w:rFonts w:ascii="Times New Roman" w:hAnsi="Times New Roman" w:eastAsia="Times New Roman" w:cs="Times New Roman"/>
      <w:kern w:val="2"/>
      <w:sz w:val="24"/>
      <w:szCs w:val="24"/>
      <w:lang w:val="en-US" w:eastAsia="zh-CN"/>
    </w:rPr>
  </w:style>
  <w:style w:type="paragraph" w:customStyle="1" w:styleId="10">
    <w:name w:val="List Paragraph"/>
    <w:basedOn w:val="1"/>
    <w:qFormat/>
    <w:uiPriority w:val="99"/>
    <w:pPr>
      <w:ind w:firstLine="420" w:firstLineChars="200"/>
    </w:pPr>
    <w:rPr>
      <w:sz w:val="30"/>
    </w:rPr>
  </w:style>
  <w:style w:type="character" w:customStyle="1" w:styleId="11">
    <w:name w:val="NormalCharacter"/>
    <w:qFormat/>
    <w:uiPriority w:val="0"/>
    <w:rPr>
      <w:rFonts w:ascii="Times New Roman" w:hAnsi="Times New Roman" w:eastAsia="宋体" w:cs="Times New Roman"/>
    </w:rPr>
  </w:style>
  <w:style w:type="paragraph" w:customStyle="1" w:styleId="12">
    <w:name w:val="列出段落1"/>
    <w:basedOn w:val="1"/>
    <w:qFormat/>
    <w:uiPriority w:val="99"/>
    <w:pPr>
      <w:ind w:firstLine="420" w:firstLineChars="200"/>
    </w:pPr>
    <w:rPr>
      <w:sz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2020-08-05T08:17:00Z</dcterms:created>
  <dc:creator>刘晓丽</dc:creator>
  <cp:lastModifiedBy>刘晓丽</cp:lastModifiedBy>
  <dcterms:modified xsi:type="dcterms:W3CDTF">2020-08-05T08:18:27Z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