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00" w:lineRule="exact"/>
        <w:ind w:right="0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00" w:lineRule="exact"/>
        <w:ind w:right="0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水产和肉类食品生产企业冷库新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冠肺炎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00" w:lineRule="exact"/>
        <w:ind w:right="0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疫情常态化防控期间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清洁消毒指引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600" w:lineRule="exact"/>
        <w:ind w:right="0"/>
        <w:jc w:val="both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为切实做好新型冠状病毒肺炎疫情常态化防控工作，进一步加强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水产和肉类食品生产企业冷库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的清洁消毒，特制定本指引。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"/>
        </w:rPr>
        <w:t>冷库周边环境的清洁消毒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冷库四周不应有污水和垃圾，冷库周围的场地和走道应经常清扫，定期消毒。垃圾箱和厕所距离冷库有一定距离，并保持清洁。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"/>
        </w:rPr>
        <w:t>冷库设备、工具的清洁消毒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企业应加强对冷库通风系统的日常清洁与管理维护，定期对冷却器和过滤器进行清洁、消毒。运输货物用的车辆、运货用的手推车以及其他载货设备在装货前应该进行清洁、消毒。冷库内的食品应堆放在垫木上。垫木应该抛光，并保持清洁。垫木、小车以及其他设备，应定期在冷库外冲洗、消毒。建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可先用热水冲洗，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2%浓度的碱水（50℃）除油污，然后用含有效氯0.3%～0.4%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的漂白粉溶液进行消毒。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加工用的一切设备，如铁盘、挂钩、工作台等，在使用前后都应该用清水冲洗干净，必要时还要用热碱水消毒。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"/>
        </w:rPr>
        <w:t>冷库内部的清洁消毒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冷库内部的走道和楼梯应经常清扫，特别在出入冷库的时候，对地上的碎肉等残留物要及时清扫，以免污染环境。应定期对冷库进行清洁、消毒。建议用漂白粉与碳酸钠混合消毒库房，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在低温冷库内喷洒，然后将门关闭。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冷库在消毒前，应将冷库内的食品全部搬出，清除地坪、墙和顶板上的污秽、清除墙顶和排管上的冰霜，必要时将库温升到正温。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在消毒前后均应测定、记录霉菌孢子值，消毒后，每平方厘米表面上不得多余一个霉菌孢子。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DC5"/>
    <w:multiLevelType w:val="singleLevel"/>
    <w:tmpl w:val="5F057DC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56E3"/>
    <w:rsid w:val="06EC6306"/>
    <w:rsid w:val="537056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2020-07-28T01:55:00Z</dcterms:created>
  <dc:creator>刘晓丽</dc:creator>
  <cp:lastModifiedBy>刘晓丽</cp:lastModifiedBy>
  <dcterms:modified xsi:type="dcterms:W3CDTF">2020-07-28T01:56:33Z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