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62" w:rsidRDefault="00F53762" w:rsidP="00F53762">
      <w:pPr>
        <w:snapToGrid w:val="0"/>
        <w:spacing w:line="540" w:lineRule="exact"/>
        <w:jc w:val="left"/>
        <w:rPr>
          <w:rFonts w:eastAsia="方正黑体_GBK"/>
          <w:kern w:val="0"/>
          <w:szCs w:val="32"/>
        </w:rPr>
      </w:pPr>
      <w:r>
        <w:rPr>
          <w:rFonts w:eastAsia="方正黑体_GBK"/>
          <w:kern w:val="0"/>
          <w:szCs w:val="32"/>
        </w:rPr>
        <w:t>附件</w:t>
      </w:r>
      <w:r>
        <w:rPr>
          <w:rFonts w:eastAsia="方正黑体_GBK"/>
          <w:kern w:val="0"/>
          <w:szCs w:val="32"/>
        </w:rPr>
        <w:t>2</w:t>
      </w:r>
    </w:p>
    <w:p w:rsidR="00F53762" w:rsidRDefault="00F53762" w:rsidP="00F53762">
      <w:pPr>
        <w:spacing w:line="540" w:lineRule="exact"/>
        <w:ind w:firstLineChars="400" w:firstLine="1760"/>
        <w:rPr>
          <w:rFonts w:eastAsia="方正小标宋简体"/>
          <w:sz w:val="44"/>
          <w:szCs w:val="44"/>
        </w:rPr>
      </w:pPr>
      <w:r>
        <w:rPr>
          <w:rFonts w:eastAsia="方正小标宋简体"/>
          <w:sz w:val="44"/>
          <w:szCs w:val="44"/>
        </w:rPr>
        <w:t>储备粮（原粮）承储资格认定</w:t>
      </w:r>
    </w:p>
    <w:p w:rsidR="00F53762" w:rsidRDefault="00F53762" w:rsidP="00F53762">
      <w:pPr>
        <w:widowControl/>
        <w:spacing w:line="540" w:lineRule="exact"/>
        <w:ind w:firstLineChars="200" w:firstLine="640"/>
        <w:jc w:val="left"/>
        <w:rPr>
          <w:rFonts w:eastAsia="黑体"/>
          <w:kern w:val="0"/>
        </w:rPr>
      </w:pP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简体" w:hAnsi="Times New Roman" w:cs="Times New Roman"/>
          <w:color w:val="000000"/>
          <w:sz w:val="32"/>
          <w:szCs w:val="32"/>
        </w:rPr>
      </w:pPr>
      <w:r>
        <w:rPr>
          <w:rFonts w:ascii="Times New Roman" w:eastAsia="方正黑体_GBK" w:hAnsi="Times New Roman" w:cs="Times New Roman"/>
          <w:color w:val="000000"/>
          <w:sz w:val="32"/>
          <w:szCs w:val="32"/>
        </w:rPr>
        <w:t>一、改革内容</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根据《自治区人民政府关于印发开展证照分离改革全覆盖试点实施方案的通知》（宁政规发〔</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号）精神，对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储备粮（原粮）承储资格认定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进行审批服务优化。</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二、设定依据</w:t>
      </w:r>
    </w:p>
    <w:p w:rsidR="00F53762" w:rsidRDefault="00F53762" w:rsidP="00F53762">
      <w:pPr>
        <w:adjustRightInd w:val="0"/>
        <w:spacing w:line="540" w:lineRule="exact"/>
        <w:rPr>
          <w:color w:val="000000"/>
          <w:kern w:val="0"/>
          <w:szCs w:val="32"/>
        </w:rPr>
      </w:pPr>
      <w:r>
        <w:rPr>
          <w:rFonts w:eastAsia="仿宋_GB2312"/>
          <w:color w:val="000000"/>
          <w:kern w:val="0"/>
          <w:szCs w:val="32"/>
        </w:rPr>
        <w:t xml:space="preserve">    </w:t>
      </w:r>
      <w:r>
        <w:rPr>
          <w:color w:val="000000"/>
          <w:kern w:val="0"/>
          <w:szCs w:val="32"/>
        </w:rPr>
        <w:t>【地方性法规】《宁夏回族自治区地方储备粮管理条例》（</w:t>
      </w:r>
      <w:r>
        <w:rPr>
          <w:color w:val="000000"/>
          <w:kern w:val="0"/>
          <w:szCs w:val="32"/>
        </w:rPr>
        <w:t>2015</w:t>
      </w:r>
      <w:r>
        <w:rPr>
          <w:color w:val="000000"/>
          <w:kern w:val="0"/>
          <w:szCs w:val="32"/>
        </w:rPr>
        <w:t>修正）第十八条</w:t>
      </w:r>
      <w:r>
        <w:rPr>
          <w:color w:val="000000"/>
          <w:kern w:val="0"/>
          <w:szCs w:val="32"/>
        </w:rPr>
        <w:t xml:space="preserve"> </w:t>
      </w:r>
      <w:r>
        <w:rPr>
          <w:color w:val="000000"/>
          <w:kern w:val="0"/>
          <w:szCs w:val="32"/>
        </w:rPr>
        <w:t>储备粮储存实行资格认证制度。未取得储备粮储存企业资格的，不得从事储备粮的储存业务。自治区储备粮原粮储存企业资格，由自治区粮食管理部门依法审核认定；自治区和设区的市成品粮储存企业资格，由设区的市粮食管理部门依法审核认定；县级成品粮储存企业资格，由县级粮食管理部门依法审核认定。</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三、审批层级和部门</w:t>
      </w:r>
    </w:p>
    <w:p w:rsidR="00F53762" w:rsidRDefault="00F53762" w:rsidP="00F53762">
      <w:pPr>
        <w:adjustRightInd w:val="0"/>
        <w:spacing w:line="540" w:lineRule="exact"/>
        <w:ind w:firstLineChars="200" w:firstLine="640"/>
        <w:rPr>
          <w:szCs w:val="32"/>
        </w:rPr>
      </w:pPr>
      <w:r>
        <w:rPr>
          <w:szCs w:val="32"/>
        </w:rPr>
        <w:t>自治区级粮食和物资储备部门。</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四、改革举措</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（一）实现申请、审批全程网上办理。</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（二）将审批时限由</w:t>
      </w:r>
      <w:r>
        <w:rPr>
          <w:color w:val="000000"/>
          <w:kern w:val="0"/>
          <w:szCs w:val="32"/>
        </w:rPr>
        <w:t>15</w:t>
      </w:r>
      <w:r>
        <w:rPr>
          <w:color w:val="000000"/>
          <w:kern w:val="0"/>
          <w:szCs w:val="32"/>
        </w:rPr>
        <w:t>个工作日压减至</w:t>
      </w:r>
      <w:r>
        <w:rPr>
          <w:color w:val="000000"/>
          <w:kern w:val="0"/>
          <w:szCs w:val="32"/>
        </w:rPr>
        <w:t>7</w:t>
      </w:r>
      <w:r>
        <w:rPr>
          <w:color w:val="000000"/>
          <w:kern w:val="0"/>
          <w:szCs w:val="32"/>
        </w:rPr>
        <w:t>个工作日。</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（三）营业执照、法定代表人身份证明等能通过信息共享平台在线获取的材料不再要求申请人提供。</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仿宋_GBK" w:hAnsi="Times New Roman" w:cs="Times New Roman"/>
          <w:color w:val="000000"/>
          <w:sz w:val="32"/>
          <w:szCs w:val="32"/>
        </w:rPr>
      </w:pPr>
      <w:r>
        <w:rPr>
          <w:rFonts w:ascii="方正黑体_GBK" w:eastAsia="方正黑体_GBK" w:hAnsi="方正黑体_GBK" w:cs="方正黑体_GBK" w:hint="eastAsia"/>
          <w:color w:val="000000"/>
          <w:sz w:val="32"/>
          <w:szCs w:val="32"/>
        </w:rPr>
        <w:t>五、许可条件</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（一）仓库容量达到自治区规定的规模，仓储设施符合国家有关粮食储存标准和技术规范的要求；</w:t>
      </w:r>
    </w:p>
    <w:p w:rsidR="00F53762" w:rsidRDefault="00F53762" w:rsidP="00F53762">
      <w:pPr>
        <w:adjustRightInd w:val="0"/>
        <w:spacing w:line="540" w:lineRule="exact"/>
        <w:ind w:firstLineChars="200" w:firstLine="640"/>
        <w:rPr>
          <w:color w:val="000000"/>
          <w:kern w:val="0"/>
          <w:szCs w:val="32"/>
        </w:rPr>
      </w:pPr>
      <w:r>
        <w:rPr>
          <w:color w:val="000000"/>
          <w:kern w:val="0"/>
          <w:szCs w:val="32"/>
        </w:rPr>
        <w:lastRenderedPageBreak/>
        <w:t>（二）具有与粮食储存功能、仓型、进出粮方式、粮食品种、储粮周期等相适应的仓储设备；</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（三）具有符合国家标准的自治区储备粮质量等级检测仪器和检测场所，具备检测粮温、水分、害虫密度的条件；</w:t>
      </w:r>
    </w:p>
    <w:p w:rsidR="00F53762" w:rsidRDefault="00F53762" w:rsidP="00F53762">
      <w:pPr>
        <w:adjustRightInd w:val="0"/>
        <w:spacing w:line="540" w:lineRule="exact"/>
        <w:ind w:firstLineChars="200" w:firstLine="640"/>
        <w:rPr>
          <w:color w:val="000000"/>
          <w:kern w:val="0"/>
          <w:szCs w:val="32"/>
        </w:rPr>
      </w:pPr>
      <w:r>
        <w:rPr>
          <w:color w:val="000000"/>
          <w:kern w:val="0"/>
          <w:szCs w:val="32"/>
        </w:rPr>
        <w:t>（四）具有经过专业培训，并取得国家认可资格证书的粮食保管、检验和防治等管理技术人员；</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（五）具有符合农业发展银行规定的贷款条件，经营管理规范。</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六、改革事项具体办理程序</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（一）受理（预审）：政务服务窗口通过行政审批与公共便民服务系统受理，根据调用的用户信息、证照信息、申请材料信息等，查看比对申请人提交的相关信息和材料。</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二）受理：对申请材料不齐全或不符合法定形式的，出具《一次性告知书》。对不符合要求的，出具《不予受理通知书》，告权利救济渠道。对申请材料齐全或符合法定形式的，出具《受理通知书》。政务服务服务窗口将申请材料上传至行政审批与公共便民服务系统。</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（三）审查（资料审查）：自受理后第</w:t>
      </w:r>
      <w:r>
        <w:rPr>
          <w:color w:val="000000"/>
          <w:kern w:val="0"/>
          <w:szCs w:val="32"/>
        </w:rPr>
        <w:t>1</w:t>
      </w:r>
      <w:r>
        <w:rPr>
          <w:color w:val="000000"/>
          <w:kern w:val="0"/>
          <w:szCs w:val="32"/>
        </w:rPr>
        <w:t>个工作日内，自治区粮食和物资储备局对申请资料的直实性进行审核，并按照《宁夏回族自治区储备粮承储资格认定审核标准》对纸质申请材料进行审核。</w:t>
      </w:r>
    </w:p>
    <w:p w:rsidR="00F53762" w:rsidRDefault="00F53762" w:rsidP="00F53762">
      <w:pPr>
        <w:adjustRightInd w:val="0"/>
        <w:spacing w:line="540" w:lineRule="exact"/>
        <w:ind w:firstLineChars="200" w:firstLine="640"/>
        <w:rPr>
          <w:color w:val="000000"/>
          <w:kern w:val="0"/>
          <w:szCs w:val="32"/>
        </w:rPr>
      </w:pPr>
      <w:r>
        <w:rPr>
          <w:color w:val="000000"/>
          <w:kern w:val="0"/>
          <w:szCs w:val="32"/>
        </w:rPr>
        <w:t>（四）审查（现场审查）：自受理后第</w:t>
      </w:r>
      <w:r>
        <w:rPr>
          <w:color w:val="000000"/>
          <w:kern w:val="0"/>
          <w:szCs w:val="32"/>
        </w:rPr>
        <w:t>3</w:t>
      </w:r>
      <w:r>
        <w:rPr>
          <w:color w:val="000000"/>
          <w:kern w:val="0"/>
          <w:szCs w:val="32"/>
        </w:rPr>
        <w:t>个工作日内，自治区粮食和物资储备局对申请企业现场进行核查，并按照《宁夏回族自治区储备粮承储资格认定现场核查表》逐项进行核查，并进行专家评审。</w:t>
      </w:r>
    </w:p>
    <w:p w:rsidR="00F53762" w:rsidRDefault="00F53762" w:rsidP="00F53762">
      <w:pPr>
        <w:adjustRightInd w:val="0"/>
        <w:spacing w:line="540" w:lineRule="exact"/>
        <w:ind w:firstLineChars="200" w:firstLine="640"/>
        <w:rPr>
          <w:color w:val="000000"/>
          <w:kern w:val="0"/>
          <w:szCs w:val="32"/>
        </w:rPr>
      </w:pPr>
      <w:r>
        <w:rPr>
          <w:color w:val="000000"/>
          <w:kern w:val="0"/>
          <w:szCs w:val="32"/>
        </w:rPr>
        <w:lastRenderedPageBreak/>
        <w:t>（五）决定：自受理后第</w:t>
      </w:r>
      <w:r>
        <w:rPr>
          <w:color w:val="000000"/>
          <w:kern w:val="0"/>
          <w:szCs w:val="32"/>
        </w:rPr>
        <w:t>7</w:t>
      </w:r>
      <w:r>
        <w:rPr>
          <w:color w:val="000000"/>
          <w:kern w:val="0"/>
          <w:szCs w:val="32"/>
        </w:rPr>
        <w:t>个工作日内，经自治区粮食和物资储备局会议通过后，在宁夏粮食政务网或其他媒体公示，公示期限为</w:t>
      </w:r>
      <w:r>
        <w:rPr>
          <w:color w:val="000000"/>
          <w:kern w:val="0"/>
          <w:szCs w:val="32"/>
        </w:rPr>
        <w:t>7</w:t>
      </w:r>
      <w:r>
        <w:rPr>
          <w:color w:val="000000"/>
          <w:kern w:val="0"/>
          <w:szCs w:val="32"/>
        </w:rPr>
        <w:t>个工作日。</w:t>
      </w:r>
    </w:p>
    <w:p w:rsidR="00F53762" w:rsidRDefault="00F53762" w:rsidP="00F53762">
      <w:pPr>
        <w:adjustRightInd w:val="0"/>
        <w:spacing w:line="540" w:lineRule="exact"/>
        <w:ind w:firstLineChars="200" w:firstLine="640"/>
        <w:rPr>
          <w:color w:val="000000"/>
          <w:kern w:val="0"/>
          <w:szCs w:val="32"/>
        </w:rPr>
      </w:pPr>
      <w:r>
        <w:rPr>
          <w:color w:val="000000"/>
          <w:kern w:val="0"/>
          <w:szCs w:val="32"/>
        </w:rPr>
        <w:t>（六）送达：对批准申请的出具《办结通知书》，对不批准申请的出具《不予许可通知书》，并告知权利救济渠道；通过短信、移动终端等方式通知申请人领取结果，邮寄送达。</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简体" w:hAnsi="Times New Roman" w:cs="Times New Roman"/>
          <w:color w:val="000000"/>
          <w:sz w:val="32"/>
          <w:szCs w:val="32"/>
        </w:rPr>
      </w:pPr>
      <w:r>
        <w:rPr>
          <w:rFonts w:ascii="Times New Roman" w:eastAsia="方正黑体_GBK" w:hAnsi="Times New Roman" w:cs="Times New Roman"/>
          <w:color w:val="000000"/>
          <w:sz w:val="32"/>
          <w:szCs w:val="32"/>
        </w:rPr>
        <w:t>七、申请材料</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（一）</w:t>
      </w:r>
      <w:r>
        <w:rPr>
          <w:color w:val="000000"/>
          <w:kern w:val="0"/>
          <w:szCs w:val="32"/>
        </w:rPr>
        <w:t xml:space="preserve"> </w:t>
      </w:r>
      <w:r>
        <w:rPr>
          <w:color w:val="000000"/>
          <w:kern w:val="0"/>
          <w:szCs w:val="32"/>
        </w:rPr>
        <w:t>宁夏回族自治区储备粮承储资格申请表（包括：法定代表人承诺书、企业基本情况表、库区基本情况表、仓房基本情况表、仓房（油罐）改造说明、主要储粮技术应用说明、企业检化验条件表、主要专业人员表、主要仓储设备表、企业仓储管理情况表、企业财务状况表、保密承诺书、企业营业执照和税务登记证复印件、专职粮食保管、检化验等专业人员职业资格证书复印件、所在地粮食行政管理部门对其仓房（油罐）条件、检验条件、设备条件、</w:t>
      </w:r>
      <w:r>
        <w:rPr>
          <w:color w:val="000000"/>
          <w:kern w:val="0"/>
          <w:szCs w:val="32"/>
        </w:rPr>
        <w:t>“</w:t>
      </w:r>
      <w:r>
        <w:rPr>
          <w:color w:val="000000"/>
          <w:kern w:val="0"/>
          <w:szCs w:val="32"/>
        </w:rPr>
        <w:t>四无</w:t>
      </w:r>
      <w:r>
        <w:rPr>
          <w:color w:val="000000"/>
          <w:kern w:val="0"/>
          <w:szCs w:val="32"/>
        </w:rPr>
        <w:t>”</w:t>
      </w:r>
      <w:r>
        <w:rPr>
          <w:color w:val="000000"/>
          <w:kern w:val="0"/>
          <w:szCs w:val="32"/>
        </w:rPr>
        <w:t>粮仓（油罐）鉴定等情况的认定证明。）。</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（二）开户银行出具上</w:t>
      </w:r>
      <w:r>
        <w:rPr>
          <w:color w:val="000000"/>
          <w:kern w:val="0"/>
          <w:szCs w:val="32"/>
        </w:rPr>
        <w:t>2</w:t>
      </w:r>
      <w:r>
        <w:rPr>
          <w:color w:val="000000"/>
          <w:kern w:val="0"/>
          <w:szCs w:val="32"/>
        </w:rPr>
        <w:t>个年度的企业资信证明材料。</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（三）经审计部门或中介机构审核的企业前</w:t>
      </w:r>
      <w:r>
        <w:rPr>
          <w:color w:val="000000"/>
          <w:kern w:val="0"/>
          <w:szCs w:val="32"/>
        </w:rPr>
        <w:t>2</w:t>
      </w:r>
      <w:r>
        <w:rPr>
          <w:color w:val="000000"/>
          <w:kern w:val="0"/>
          <w:szCs w:val="32"/>
        </w:rPr>
        <w:t>个年度资产负债表和损益表等财务报表。</w:t>
      </w:r>
    </w:p>
    <w:p w:rsidR="00F53762" w:rsidRDefault="00F53762" w:rsidP="00F53762">
      <w:pPr>
        <w:adjustRightInd w:val="0"/>
        <w:spacing w:line="540" w:lineRule="exact"/>
        <w:ind w:firstLineChars="200" w:firstLine="640"/>
        <w:rPr>
          <w:color w:val="000000"/>
          <w:kern w:val="0"/>
          <w:szCs w:val="32"/>
        </w:rPr>
      </w:pPr>
      <w:r>
        <w:rPr>
          <w:color w:val="000000"/>
          <w:kern w:val="0"/>
          <w:szCs w:val="32"/>
        </w:rPr>
        <w:t>（四）</w:t>
      </w:r>
      <w:r>
        <w:rPr>
          <w:color w:val="000000"/>
          <w:kern w:val="0"/>
          <w:szCs w:val="32"/>
        </w:rPr>
        <w:t xml:space="preserve"> </w:t>
      </w:r>
      <w:r>
        <w:rPr>
          <w:color w:val="000000"/>
          <w:kern w:val="0"/>
          <w:szCs w:val="32"/>
        </w:rPr>
        <w:t>库区总平面示意图（示意图应标识仓房、化验室、汽车衡、大门、铁路专用线以及其他主要设施的平面位置关系，仓房、油罐必须标明编号）。</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（五）</w:t>
      </w:r>
      <w:r>
        <w:rPr>
          <w:color w:val="000000"/>
          <w:kern w:val="0"/>
          <w:szCs w:val="32"/>
        </w:rPr>
        <w:t xml:space="preserve"> </w:t>
      </w:r>
      <w:r>
        <w:rPr>
          <w:color w:val="000000"/>
          <w:kern w:val="0"/>
          <w:szCs w:val="32"/>
        </w:rPr>
        <w:t>申请承储资格仓房正面照片。</w:t>
      </w:r>
    </w:p>
    <w:p w:rsidR="00F53762" w:rsidRDefault="00F53762" w:rsidP="00F53762">
      <w:pPr>
        <w:adjustRightInd w:val="0"/>
        <w:spacing w:line="540" w:lineRule="exact"/>
        <w:ind w:firstLineChars="200" w:firstLine="640"/>
        <w:rPr>
          <w:rFonts w:eastAsia="仿宋_GB2312"/>
          <w:color w:val="000000"/>
          <w:kern w:val="0"/>
          <w:szCs w:val="32"/>
        </w:rPr>
      </w:pPr>
      <w:r>
        <w:rPr>
          <w:color w:val="000000"/>
          <w:kern w:val="0"/>
          <w:szCs w:val="32"/>
        </w:rPr>
        <w:t>（六）</w:t>
      </w:r>
      <w:r>
        <w:rPr>
          <w:color w:val="000000"/>
          <w:kern w:val="0"/>
          <w:szCs w:val="32"/>
        </w:rPr>
        <w:t xml:space="preserve"> </w:t>
      </w:r>
      <w:r>
        <w:rPr>
          <w:color w:val="000000"/>
          <w:kern w:val="0"/>
          <w:szCs w:val="32"/>
        </w:rPr>
        <w:t>当地消防部门消防检查合格证明。</w:t>
      </w:r>
    </w:p>
    <w:p w:rsidR="00F53762" w:rsidRDefault="00F53762" w:rsidP="00F53762">
      <w:pPr>
        <w:pStyle w:val="a7"/>
        <w:shd w:val="clear" w:color="auto" w:fill="FFFFFF"/>
        <w:spacing w:before="0" w:beforeAutospacing="0" w:after="0" w:afterAutospacing="0" w:line="540" w:lineRule="exact"/>
        <w:ind w:firstLineChars="200" w:firstLine="640"/>
        <w:jc w:val="both"/>
        <w:rPr>
          <w:rFonts w:ascii="Times New Roman" w:eastAsia="方正黑体简体" w:hAnsi="Times New Roman" w:cs="Times New Roman"/>
          <w:color w:val="000000"/>
          <w:sz w:val="32"/>
          <w:szCs w:val="32"/>
        </w:rPr>
      </w:pPr>
      <w:r>
        <w:rPr>
          <w:rFonts w:ascii="Times New Roman" w:eastAsia="方正黑体_GBK" w:hAnsi="Times New Roman" w:cs="Times New Roman"/>
          <w:color w:val="000000"/>
          <w:sz w:val="32"/>
          <w:szCs w:val="32"/>
        </w:rPr>
        <w:t>八、监管措施</w:t>
      </w:r>
    </w:p>
    <w:p w:rsidR="00F53762" w:rsidRDefault="00F53762" w:rsidP="00F53762">
      <w:pPr>
        <w:adjustRightInd w:val="0"/>
        <w:spacing w:line="540" w:lineRule="exact"/>
        <w:ind w:firstLineChars="200" w:firstLine="640"/>
        <w:rPr>
          <w:color w:val="000000"/>
          <w:kern w:val="0"/>
          <w:szCs w:val="32"/>
        </w:rPr>
      </w:pPr>
      <w:r>
        <w:rPr>
          <w:color w:val="000000"/>
          <w:kern w:val="0"/>
          <w:szCs w:val="32"/>
        </w:rPr>
        <w:lastRenderedPageBreak/>
        <w:t>（一）自治区粮食和物资储备局负责对全区储备粮承储企业的监督检查。地市级粮食局协助自治区粮食和物资储备局加强对储备粮承储资格企业的监督检查，并及时向自治区粮食和物资储备局报告检查结果。</w:t>
      </w:r>
      <w:r>
        <w:rPr>
          <w:color w:val="000000"/>
          <w:kern w:val="0"/>
          <w:szCs w:val="32"/>
        </w:rPr>
        <w:t xml:space="preserve"> </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（二）储备粮承储企业出现企业发生违反粮食法规、政策的情况；企业发生较大及以上等级储粮安全事故；企业发生人员死亡或</w:t>
      </w:r>
      <w:r>
        <w:rPr>
          <w:color w:val="000000"/>
          <w:kern w:val="0"/>
          <w:szCs w:val="32"/>
        </w:rPr>
        <w:t>3</w:t>
      </w:r>
      <w:r>
        <w:rPr>
          <w:color w:val="000000"/>
          <w:kern w:val="0"/>
          <w:szCs w:val="32"/>
        </w:rPr>
        <w:t>人及以上重伤的安全生产事故的，企业应在</w:t>
      </w:r>
      <w:r>
        <w:rPr>
          <w:color w:val="000000"/>
          <w:kern w:val="0"/>
          <w:szCs w:val="32"/>
        </w:rPr>
        <w:t>5</w:t>
      </w:r>
      <w:r>
        <w:rPr>
          <w:color w:val="000000"/>
          <w:kern w:val="0"/>
          <w:szCs w:val="32"/>
        </w:rPr>
        <w:t>个工作日内报告自治区粮食和物资储备局，并按照有关规定进行认定处置</w:t>
      </w:r>
      <w:r>
        <w:rPr>
          <w:rFonts w:hint="eastAsia"/>
          <w:color w:val="000000"/>
          <w:kern w:val="0"/>
          <w:szCs w:val="32"/>
        </w:rPr>
        <w:t>。</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三）储备粮承储企业有储备粮油储存安全存在隐患；储存的自治区储备粮油不符合质量等级和国家标准要求；未按地方储备粮管理的有关规定填报统计报表及数据；擅自改变库区仓房或油罐编号；拒绝、阻挠、干涉监督检查人员依法履行职责的，由自治区粮食和物资储备局或委托市、县（区）粮食</w:t>
      </w:r>
      <w:r>
        <w:rPr>
          <w:rFonts w:hint="eastAsia"/>
          <w:color w:val="000000"/>
          <w:kern w:val="0"/>
          <w:szCs w:val="32"/>
        </w:rPr>
        <w:t>管理部门</w:t>
      </w:r>
      <w:r>
        <w:rPr>
          <w:color w:val="000000"/>
          <w:kern w:val="0"/>
          <w:szCs w:val="32"/>
        </w:rPr>
        <w:t>责令其限期改正</w:t>
      </w:r>
      <w:r>
        <w:rPr>
          <w:rFonts w:hint="eastAsia"/>
          <w:color w:val="000000"/>
          <w:kern w:val="0"/>
          <w:szCs w:val="32"/>
        </w:rPr>
        <w:t>。</w:t>
      </w:r>
    </w:p>
    <w:p w:rsidR="00F53762" w:rsidRDefault="00F53762" w:rsidP="00F53762">
      <w:pPr>
        <w:adjustRightInd w:val="0"/>
        <w:spacing w:line="540" w:lineRule="exact"/>
        <w:ind w:firstLineChars="200" w:firstLine="640"/>
        <w:rPr>
          <w:color w:val="000000"/>
          <w:kern w:val="0"/>
          <w:szCs w:val="32"/>
        </w:rPr>
      </w:pPr>
      <w:r>
        <w:rPr>
          <w:color w:val="000000"/>
          <w:kern w:val="0"/>
          <w:szCs w:val="32"/>
        </w:rPr>
        <w:t>（四）储备粮承储企业有对储备粮油未实行专仓（罐）储存、专人保管、专账记载，储备粮油账账不符、账实不符；擅自动用储备粮油，虚报、瞒报储备粮油数量，挤占挪用储备粮油贷款、套取储备粮油差价、虚报冒领储备粮油费用补贴；以储备粮油对外进行担保或者清偿债务；在储备粮油中掺杂使假、以次充好，擅自串换储备粮油品种、变更储备粮油储存地点、转手委托其他单位代储；拒不执行或者擅自改变储备粮油收购、储存、销售计划和动用命令，或因管理不善而导致粮油劣变的；发生重大储存事故、重大安全生产责任事故以及发生事故不及时处理、不及时报告；因工作失职、</w:t>
      </w:r>
      <w:r>
        <w:rPr>
          <w:color w:val="000000"/>
          <w:kern w:val="0"/>
          <w:szCs w:val="32"/>
        </w:rPr>
        <w:lastRenderedPageBreak/>
        <w:t>管理不善发生粮油霉变、损失等储存事故，或者发生盗窃、火灾等安全生产事故，造成经济损失</w:t>
      </w:r>
      <w:r>
        <w:rPr>
          <w:color w:val="000000"/>
          <w:kern w:val="0"/>
          <w:szCs w:val="32"/>
        </w:rPr>
        <w:t>1</w:t>
      </w:r>
      <w:r>
        <w:rPr>
          <w:color w:val="000000"/>
          <w:kern w:val="0"/>
          <w:szCs w:val="32"/>
        </w:rPr>
        <w:t>万元（含</w:t>
      </w:r>
      <w:r>
        <w:rPr>
          <w:color w:val="000000"/>
          <w:kern w:val="0"/>
          <w:szCs w:val="32"/>
        </w:rPr>
        <w:t>1</w:t>
      </w:r>
      <w:r>
        <w:rPr>
          <w:color w:val="000000"/>
          <w:kern w:val="0"/>
          <w:szCs w:val="32"/>
        </w:rPr>
        <w:t>万元）以上；提供虚假材料骗取储备粮承储资格认定证书，或者有伪造、涂改、转让认定证书行为；拒不执行粮食行政管理部门整改决定，或整改不到位；承储企业发生变化，不能继续满足本细则规定的储备粮油承储条件的，由自治区粮食和物资储备局取消其承储资格，收回承储资格认定证书，调出其承储的自治区储备粮油：</w:t>
      </w:r>
    </w:p>
    <w:p w:rsidR="00F53762" w:rsidRDefault="00F53762" w:rsidP="00F53762">
      <w:pPr>
        <w:adjustRightInd w:val="0"/>
        <w:spacing w:line="540" w:lineRule="exact"/>
        <w:ind w:firstLineChars="200" w:firstLine="640"/>
        <w:rPr>
          <w:color w:val="000000"/>
          <w:kern w:val="0"/>
          <w:szCs w:val="32"/>
        </w:rPr>
      </w:pPr>
      <w:r>
        <w:rPr>
          <w:color w:val="000000"/>
          <w:kern w:val="0"/>
          <w:szCs w:val="32"/>
        </w:rPr>
        <w:t>（五）从事资格管理的工作人员违反规定，给储备粮承储资格管理工作造成损失的，依据国家有关法律法规给予相应处分；构成犯罪的，依法追究刑事责任。</w:t>
      </w:r>
    </w:p>
    <w:p w:rsidR="00F53762" w:rsidRDefault="00F53762" w:rsidP="00F53762">
      <w:pPr>
        <w:adjustRightInd w:val="0"/>
        <w:spacing w:line="540" w:lineRule="exact"/>
        <w:ind w:firstLineChars="200" w:firstLine="640"/>
        <w:rPr>
          <w:color w:val="000000"/>
          <w:kern w:val="0"/>
          <w:szCs w:val="32"/>
        </w:rPr>
      </w:pPr>
      <w:r>
        <w:rPr>
          <w:color w:val="000000"/>
          <w:kern w:val="0"/>
          <w:szCs w:val="32"/>
        </w:rPr>
        <w:t>（六）资格企业违反规定造成损失的，对直接负责的主管人员和其他直接责任人员，依据国家有关法律法规给予相应处分；构成犯罪的，依法追究刑事责任。</w:t>
      </w:r>
    </w:p>
    <w:p w:rsidR="00F53762" w:rsidRDefault="00F53762" w:rsidP="00F53762">
      <w:pPr>
        <w:adjustRightInd w:val="0"/>
        <w:spacing w:line="540" w:lineRule="exact"/>
        <w:ind w:firstLineChars="200" w:firstLine="640"/>
        <w:rPr>
          <w:color w:val="000000"/>
          <w:kern w:val="0"/>
          <w:szCs w:val="32"/>
        </w:rPr>
      </w:pPr>
      <w:r>
        <w:rPr>
          <w:color w:val="000000"/>
          <w:kern w:val="0"/>
          <w:szCs w:val="32"/>
        </w:rPr>
        <w:t>（七）储备粮承储资格证书遗失或损坏，企业可向自治区粮食和物资储备局提出补发储备粮承储资格证书的书面申请，经自治区粮食和物资储备局核实后核准补发。</w:t>
      </w:r>
    </w:p>
    <w:p w:rsidR="00F53762" w:rsidRDefault="00F53762" w:rsidP="00F53762">
      <w:pPr>
        <w:spacing w:line="560" w:lineRule="exact"/>
        <w:jc w:val="left"/>
        <w:rPr>
          <w:rFonts w:eastAsia="方正黑体_GBK"/>
          <w:szCs w:val="32"/>
        </w:rPr>
      </w:pPr>
    </w:p>
    <w:p w:rsidR="00903F5D" w:rsidRPr="00F53762" w:rsidRDefault="00903F5D">
      <w:bookmarkStart w:id="0" w:name="_GoBack"/>
      <w:bookmarkEnd w:id="0"/>
    </w:p>
    <w:sectPr w:rsidR="00903F5D" w:rsidRPr="00F53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00" w:rsidRDefault="00CE3B00" w:rsidP="00F53762">
      <w:r>
        <w:separator/>
      </w:r>
    </w:p>
  </w:endnote>
  <w:endnote w:type="continuationSeparator" w:id="0">
    <w:p w:rsidR="00CE3B00" w:rsidRDefault="00CE3B00" w:rsidP="00F5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00" w:rsidRDefault="00CE3B00" w:rsidP="00F53762">
      <w:r>
        <w:separator/>
      </w:r>
    </w:p>
  </w:footnote>
  <w:footnote w:type="continuationSeparator" w:id="0">
    <w:p w:rsidR="00CE3B00" w:rsidRDefault="00CE3B00" w:rsidP="00F5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CA"/>
    <w:rsid w:val="00002D4A"/>
    <w:rsid w:val="00030F52"/>
    <w:rsid w:val="00090536"/>
    <w:rsid w:val="000974BB"/>
    <w:rsid w:val="000B3D2F"/>
    <w:rsid w:val="000B7D34"/>
    <w:rsid w:val="000C4774"/>
    <w:rsid w:val="000F399F"/>
    <w:rsid w:val="00114470"/>
    <w:rsid w:val="001A5A0F"/>
    <w:rsid w:val="001A7C78"/>
    <w:rsid w:val="001B6160"/>
    <w:rsid w:val="001C6479"/>
    <w:rsid w:val="001D47B0"/>
    <w:rsid w:val="001F7F35"/>
    <w:rsid w:val="00203866"/>
    <w:rsid w:val="002378AE"/>
    <w:rsid w:val="00243DFF"/>
    <w:rsid w:val="00253B54"/>
    <w:rsid w:val="002C4BB9"/>
    <w:rsid w:val="002E4601"/>
    <w:rsid w:val="002F76F5"/>
    <w:rsid w:val="00311321"/>
    <w:rsid w:val="00311B81"/>
    <w:rsid w:val="00313151"/>
    <w:rsid w:val="003134CA"/>
    <w:rsid w:val="00321295"/>
    <w:rsid w:val="00324B51"/>
    <w:rsid w:val="00387DD8"/>
    <w:rsid w:val="003D3DAA"/>
    <w:rsid w:val="0040077D"/>
    <w:rsid w:val="00411EDF"/>
    <w:rsid w:val="00496F58"/>
    <w:rsid w:val="00503F4B"/>
    <w:rsid w:val="0050511A"/>
    <w:rsid w:val="005267A5"/>
    <w:rsid w:val="005542AA"/>
    <w:rsid w:val="005B394C"/>
    <w:rsid w:val="005C6408"/>
    <w:rsid w:val="005E2638"/>
    <w:rsid w:val="006310B0"/>
    <w:rsid w:val="00654727"/>
    <w:rsid w:val="00663C3A"/>
    <w:rsid w:val="006713DE"/>
    <w:rsid w:val="00674AAD"/>
    <w:rsid w:val="006A3FE6"/>
    <w:rsid w:val="006C4DD1"/>
    <w:rsid w:val="006C688D"/>
    <w:rsid w:val="006D2247"/>
    <w:rsid w:val="006F7477"/>
    <w:rsid w:val="00701B20"/>
    <w:rsid w:val="007047ED"/>
    <w:rsid w:val="007068C8"/>
    <w:rsid w:val="007B3F82"/>
    <w:rsid w:val="007F1DE6"/>
    <w:rsid w:val="00837CD2"/>
    <w:rsid w:val="008561A0"/>
    <w:rsid w:val="008621F8"/>
    <w:rsid w:val="00867A8B"/>
    <w:rsid w:val="008969DD"/>
    <w:rsid w:val="008A0F6B"/>
    <w:rsid w:val="008C75CA"/>
    <w:rsid w:val="008E4A73"/>
    <w:rsid w:val="008E61AF"/>
    <w:rsid w:val="008F27C5"/>
    <w:rsid w:val="00900D77"/>
    <w:rsid w:val="00903F5D"/>
    <w:rsid w:val="0091012E"/>
    <w:rsid w:val="00915D1D"/>
    <w:rsid w:val="00923D06"/>
    <w:rsid w:val="00950098"/>
    <w:rsid w:val="00951087"/>
    <w:rsid w:val="00955F8A"/>
    <w:rsid w:val="009622B1"/>
    <w:rsid w:val="00980448"/>
    <w:rsid w:val="00993962"/>
    <w:rsid w:val="0099594D"/>
    <w:rsid w:val="009A1294"/>
    <w:rsid w:val="009A47D3"/>
    <w:rsid w:val="009D1F9E"/>
    <w:rsid w:val="009D35AC"/>
    <w:rsid w:val="009F5AEF"/>
    <w:rsid w:val="00A06A4A"/>
    <w:rsid w:val="00A121AD"/>
    <w:rsid w:val="00A3615E"/>
    <w:rsid w:val="00A366BE"/>
    <w:rsid w:val="00A42AFF"/>
    <w:rsid w:val="00A518F6"/>
    <w:rsid w:val="00A82F66"/>
    <w:rsid w:val="00AB04DE"/>
    <w:rsid w:val="00AC0CCC"/>
    <w:rsid w:val="00B064A8"/>
    <w:rsid w:val="00B0675E"/>
    <w:rsid w:val="00B07CFC"/>
    <w:rsid w:val="00B14CA6"/>
    <w:rsid w:val="00B55B26"/>
    <w:rsid w:val="00B753EF"/>
    <w:rsid w:val="00B80B8C"/>
    <w:rsid w:val="00B870B8"/>
    <w:rsid w:val="00B901D0"/>
    <w:rsid w:val="00BF24C6"/>
    <w:rsid w:val="00C0593C"/>
    <w:rsid w:val="00C63366"/>
    <w:rsid w:val="00C763E6"/>
    <w:rsid w:val="00CA4FCF"/>
    <w:rsid w:val="00CE1301"/>
    <w:rsid w:val="00CE3416"/>
    <w:rsid w:val="00CE3B00"/>
    <w:rsid w:val="00D43489"/>
    <w:rsid w:val="00D616CF"/>
    <w:rsid w:val="00D80C83"/>
    <w:rsid w:val="00DB4158"/>
    <w:rsid w:val="00DB4836"/>
    <w:rsid w:val="00DD59E6"/>
    <w:rsid w:val="00DF5F0F"/>
    <w:rsid w:val="00E0153B"/>
    <w:rsid w:val="00E13E52"/>
    <w:rsid w:val="00E303C6"/>
    <w:rsid w:val="00E4696D"/>
    <w:rsid w:val="00E557D8"/>
    <w:rsid w:val="00E75CFA"/>
    <w:rsid w:val="00EB3F1F"/>
    <w:rsid w:val="00EB6EC8"/>
    <w:rsid w:val="00EB7A70"/>
    <w:rsid w:val="00ED5CF5"/>
    <w:rsid w:val="00EE051A"/>
    <w:rsid w:val="00F07E19"/>
    <w:rsid w:val="00F1033A"/>
    <w:rsid w:val="00F23EA4"/>
    <w:rsid w:val="00F46039"/>
    <w:rsid w:val="00F53762"/>
    <w:rsid w:val="00F56123"/>
    <w:rsid w:val="00F669C2"/>
    <w:rsid w:val="00F76EC2"/>
    <w:rsid w:val="00FB46E6"/>
    <w:rsid w:val="00FC0B3D"/>
    <w:rsid w:val="00FC4389"/>
    <w:rsid w:val="00FC4CA1"/>
    <w:rsid w:val="00FC7724"/>
    <w:rsid w:val="00FD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8A72F-2591-43BF-88CE-17DB504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53762"/>
    <w:pPr>
      <w:widowControl w:val="0"/>
      <w:jc w:val="both"/>
    </w:pPr>
    <w:rPr>
      <w:rFonts w:ascii="Times New Roman" w:eastAsia="方正仿宋_GBK" w:hAnsi="Times New Roman" w:cs="Times New Roman"/>
      <w:sz w:val="32"/>
      <w:szCs w:val="24"/>
    </w:rPr>
  </w:style>
  <w:style w:type="paragraph" w:styleId="1">
    <w:name w:val="heading 1"/>
    <w:basedOn w:val="a"/>
    <w:next w:val="a"/>
    <w:link w:val="10"/>
    <w:uiPriority w:val="9"/>
    <w:qFormat/>
    <w:rsid w:val="00F537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3762"/>
    <w:rPr>
      <w:sz w:val="18"/>
      <w:szCs w:val="18"/>
    </w:rPr>
  </w:style>
  <w:style w:type="paragraph" w:styleId="a5">
    <w:name w:val="footer"/>
    <w:basedOn w:val="a"/>
    <w:link w:val="a6"/>
    <w:uiPriority w:val="99"/>
    <w:unhideWhenUsed/>
    <w:rsid w:val="00F53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3762"/>
    <w:rPr>
      <w:sz w:val="18"/>
      <w:szCs w:val="18"/>
    </w:rPr>
  </w:style>
  <w:style w:type="paragraph" w:styleId="a7">
    <w:name w:val="Normal (Web)"/>
    <w:basedOn w:val="a"/>
    <w:uiPriority w:val="99"/>
    <w:unhideWhenUsed/>
    <w:qFormat/>
    <w:rsid w:val="00F53762"/>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uiPriority w:val="9"/>
    <w:rsid w:val="00F53762"/>
    <w:rPr>
      <w:rFonts w:ascii="Times New Roman" w:eastAsia="方正仿宋_GBK"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2197</Characters>
  <Application>Microsoft Office Word</Application>
  <DocSecurity>0</DocSecurity>
  <Lines>18</Lines>
  <Paragraphs>5</Paragraphs>
  <ScaleCrop>false</ScaleCrop>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刘晓娇</dc:creator>
  <cp:keywords/>
  <dc:description/>
  <cp:lastModifiedBy>刘晓娇</cp:lastModifiedBy>
  <cp:revision>2</cp:revision>
  <dcterms:created xsi:type="dcterms:W3CDTF">2020-07-23T09:25:00Z</dcterms:created>
  <dcterms:modified xsi:type="dcterms:W3CDTF">2020-07-23T09:25:00Z</dcterms:modified>
</cp:coreProperties>
</file>