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_GBK" w:hAnsi="宋体" w:eastAsia="方正小标宋_GBK"/>
          <w:color w:val="auto"/>
          <w:sz w:val="32"/>
          <w:szCs w:val="32"/>
        </w:rPr>
      </w:pPr>
      <w:r>
        <w:rPr>
          <w:rFonts w:ascii="方正小标宋_GBK" w:hAnsi="宋体" w:eastAsia="方正小标宋_GBK" w:cs="方正小标宋_GBK"/>
          <w:color w:val="auto"/>
          <w:sz w:val="32"/>
          <w:szCs w:val="32"/>
        </w:rPr>
        <w:t>2020</w:t>
      </w:r>
      <w:r>
        <w:rPr>
          <w:rFonts w:hint="eastAsia" w:ascii="方正小标宋_GBK" w:hAnsi="宋体" w:eastAsia="方正小标宋_GBK" w:cs="方正小标宋_GBK"/>
          <w:color w:val="auto"/>
          <w:sz w:val="32"/>
          <w:szCs w:val="32"/>
        </w:rPr>
        <w:t>年输送带产品质量广西监督抽查实施细则</w:t>
      </w:r>
    </w:p>
    <w:p>
      <w:pPr>
        <w:snapToGrid w:val="0"/>
        <w:spacing w:line="360" w:lineRule="auto"/>
        <w:rPr>
          <w:rFonts w:ascii="黑体" w:hAnsi="宋体" w:eastAsia="黑体"/>
          <w:color w:val="auto"/>
        </w:rPr>
      </w:pPr>
      <w:bookmarkStart w:id="0" w:name="_GoBack"/>
      <w:bookmarkEnd w:id="0"/>
    </w:p>
    <w:p>
      <w:pPr>
        <w:snapToGrid w:val="0"/>
        <w:spacing w:line="360" w:lineRule="auto"/>
        <w:rPr>
          <w:rFonts w:ascii="宋体"/>
          <w:b/>
          <w:bCs/>
          <w:color w:val="auto"/>
        </w:rPr>
      </w:pPr>
      <w:r>
        <w:rPr>
          <w:rFonts w:ascii="宋体" w:hAnsi="宋体" w:cs="宋体"/>
          <w:b/>
          <w:bCs/>
          <w:color w:val="auto"/>
        </w:rPr>
        <w:t>1</w:t>
      </w:r>
      <w:r>
        <w:rPr>
          <w:rFonts w:hint="eastAsia" w:ascii="宋体" w:hAnsi="宋体" w:cs="宋体"/>
          <w:b/>
          <w:bCs/>
          <w:color w:val="auto"/>
        </w:rPr>
        <w:t>范围</w:t>
      </w:r>
    </w:p>
    <w:p>
      <w:pPr>
        <w:snapToGrid w:val="0"/>
        <w:spacing w:line="360" w:lineRule="auto"/>
        <w:ind w:firstLine="403" w:firstLineChars="192"/>
        <w:rPr>
          <w:rFonts w:ascii="宋体"/>
          <w:color w:val="auto"/>
        </w:rPr>
      </w:pPr>
      <w:r>
        <w:rPr>
          <w:rFonts w:hint="eastAsia" w:ascii="宋体" w:hAnsi="宋体" w:cs="宋体"/>
          <w:color w:val="auto"/>
          <w:kern w:val="0"/>
        </w:rPr>
        <w:t>本细则适用于</w:t>
      </w:r>
      <w:r>
        <w:rPr>
          <w:rFonts w:ascii="宋体" w:hAnsi="宋体" w:cs="宋体"/>
          <w:color w:val="auto"/>
          <w:kern w:val="0"/>
        </w:rPr>
        <w:t>2020</w:t>
      </w:r>
      <w:r>
        <w:rPr>
          <w:rFonts w:hint="eastAsia" w:ascii="宋体" w:hAnsi="宋体" w:cs="宋体"/>
          <w:color w:val="auto"/>
          <w:kern w:val="0"/>
        </w:rPr>
        <w:t>年输送带产品质量广西监督抽查，其他市场监管部门组织的及针对特殊情况的监督抽查可参考本细则执行。监督抽查产品范围包括普通用途织物芯输送带</w:t>
      </w:r>
      <w:r>
        <w:rPr>
          <w:rFonts w:hint="eastAsia" w:ascii="宋体" w:hAnsi="宋体" w:cs="宋体"/>
          <w:color w:val="auto"/>
        </w:rPr>
        <w:t>、</w:t>
      </w:r>
      <w:r>
        <w:rPr>
          <w:rFonts w:hint="eastAsia" w:ascii="宋体" w:hAnsi="宋体" w:cs="宋体"/>
          <w:color w:val="auto"/>
          <w:kern w:val="0"/>
        </w:rPr>
        <w:t>耐热输送带</w:t>
      </w:r>
      <w:r>
        <w:rPr>
          <w:rFonts w:hint="eastAsia" w:ascii="宋体" w:hAnsi="宋体" w:cs="宋体"/>
          <w:color w:val="auto"/>
        </w:rPr>
        <w:t>。本细则内容包括产品种类、</w:t>
      </w:r>
      <w:r>
        <w:rPr>
          <w:rFonts w:hint="eastAsia" w:ascii="宋体" w:hAnsi="宋体" w:cs="宋体"/>
          <w:color w:val="auto"/>
          <w:kern w:val="0"/>
        </w:rPr>
        <w:t>术语和定义、</w:t>
      </w:r>
      <w:r>
        <w:rPr>
          <w:rFonts w:hint="eastAsia" w:ascii="宋体" w:hAnsi="宋体" w:cs="宋体"/>
          <w:color w:val="auto"/>
        </w:rPr>
        <w:t>企业规模划分、检验依据、抽样、检验要求、判定原则、异议处理及附则。</w:t>
      </w:r>
    </w:p>
    <w:p>
      <w:pPr>
        <w:tabs>
          <w:tab w:val="center" w:pos="4479"/>
        </w:tabs>
        <w:snapToGrid w:val="0"/>
        <w:spacing w:line="360" w:lineRule="auto"/>
        <w:rPr>
          <w:rFonts w:ascii="宋体"/>
          <w:b/>
          <w:bCs/>
          <w:color w:val="auto"/>
        </w:rPr>
      </w:pPr>
      <w:r>
        <w:rPr>
          <w:rFonts w:ascii="宋体" w:hAnsi="宋体" w:cs="宋体"/>
          <w:b/>
          <w:bCs/>
          <w:color w:val="auto"/>
        </w:rPr>
        <w:t>2</w:t>
      </w:r>
      <w:r>
        <w:rPr>
          <w:rFonts w:hint="eastAsia" w:ascii="宋体" w:hAnsi="宋体" w:cs="宋体"/>
          <w:b/>
          <w:bCs/>
          <w:color w:val="auto"/>
        </w:rPr>
        <w:t>产品种类</w:t>
      </w:r>
      <w:r>
        <w:rPr>
          <w:rFonts w:ascii="宋体"/>
          <w:b/>
          <w:bCs/>
          <w:color w:val="auto"/>
        </w:rPr>
        <w:tab/>
      </w:r>
    </w:p>
    <w:p>
      <w:pPr>
        <w:spacing w:line="360" w:lineRule="auto"/>
        <w:ind w:firstLine="420" w:firstLineChars="200"/>
        <w:rPr>
          <w:rFonts w:ascii="宋体"/>
          <w:color w:val="auto"/>
        </w:rPr>
      </w:pPr>
      <w:r>
        <w:rPr>
          <w:rFonts w:hint="eastAsia" w:ascii="宋体" w:hAnsi="宋体" w:cs="宋体"/>
          <w:color w:val="auto"/>
        </w:rPr>
        <w:t>根据</w:t>
      </w:r>
      <w:r>
        <w:rPr>
          <w:rFonts w:hint="eastAsia" w:ascii="宋体" w:hAnsi="宋体" w:cs="宋体"/>
          <w:color w:val="auto"/>
          <w:kern w:val="0"/>
        </w:rPr>
        <w:t>输送带产品</w:t>
      </w:r>
      <w:r>
        <w:rPr>
          <w:rFonts w:hint="eastAsia" w:ascii="宋体" w:hAnsi="宋体" w:cs="宋体"/>
          <w:color w:val="auto"/>
        </w:rPr>
        <w:t>标准，将产品分为</w:t>
      </w:r>
      <w:r>
        <w:rPr>
          <w:rFonts w:hint="eastAsia" w:ascii="宋体" w:hAnsi="宋体" w:cs="宋体"/>
          <w:color w:val="auto"/>
          <w:kern w:val="0"/>
        </w:rPr>
        <w:t>普通用途织物芯输送带</w:t>
      </w:r>
      <w:r>
        <w:rPr>
          <w:rFonts w:hint="eastAsia" w:ascii="宋体" w:hAnsi="宋体" w:cs="宋体"/>
          <w:color w:val="auto"/>
        </w:rPr>
        <w:t>、</w:t>
      </w:r>
      <w:r>
        <w:rPr>
          <w:rFonts w:hint="eastAsia" w:ascii="宋体" w:hAnsi="宋体" w:cs="宋体"/>
          <w:color w:val="auto"/>
          <w:kern w:val="0"/>
        </w:rPr>
        <w:t>耐热输送带</w:t>
      </w:r>
      <w:r>
        <w:rPr>
          <w:rFonts w:hint="eastAsia" w:ascii="宋体" w:hAnsi="宋体" w:cs="宋体"/>
          <w:color w:val="auto"/>
        </w:rPr>
        <w:t>。</w:t>
      </w:r>
    </w:p>
    <w:p>
      <w:pPr>
        <w:snapToGrid w:val="0"/>
        <w:spacing w:line="360" w:lineRule="auto"/>
        <w:rPr>
          <w:rFonts w:ascii="宋体"/>
          <w:b/>
          <w:bCs/>
          <w:color w:val="auto"/>
        </w:rPr>
      </w:pPr>
      <w:r>
        <w:rPr>
          <w:rFonts w:ascii="宋体" w:hAnsi="宋体" w:cs="宋体"/>
          <w:b/>
          <w:bCs/>
          <w:color w:val="auto"/>
        </w:rPr>
        <w:t>3</w:t>
      </w:r>
      <w:r>
        <w:rPr>
          <w:rFonts w:hint="eastAsia" w:ascii="宋体" w:hAnsi="宋体" w:cs="宋体"/>
          <w:b/>
          <w:bCs/>
          <w:color w:val="auto"/>
          <w:kern w:val="0"/>
        </w:rPr>
        <w:t>术语和定义</w:t>
      </w:r>
    </w:p>
    <w:p>
      <w:pPr>
        <w:snapToGrid w:val="0"/>
        <w:spacing w:line="360" w:lineRule="auto"/>
        <w:ind w:firstLine="403" w:firstLineChars="192"/>
        <w:rPr>
          <w:rFonts w:ascii="宋体"/>
          <w:color w:val="auto"/>
        </w:rPr>
      </w:pPr>
      <w:r>
        <w:rPr>
          <w:rFonts w:hint="eastAsia" w:ascii="宋体" w:hAnsi="宋体" w:cs="宋体"/>
          <w:color w:val="auto"/>
        </w:rPr>
        <w:t>本细则未列出的术语和定义同相关引用标准。</w:t>
      </w:r>
    </w:p>
    <w:p>
      <w:pPr>
        <w:snapToGrid w:val="0"/>
        <w:spacing w:line="360" w:lineRule="auto"/>
        <w:rPr>
          <w:rFonts w:ascii="宋体"/>
          <w:b/>
          <w:bCs/>
          <w:color w:val="auto"/>
        </w:rPr>
      </w:pPr>
      <w:r>
        <w:rPr>
          <w:rFonts w:ascii="宋体" w:hAnsi="宋体" w:cs="宋体"/>
          <w:b/>
          <w:bCs/>
          <w:color w:val="auto"/>
        </w:rPr>
        <w:t>4</w:t>
      </w:r>
      <w:r>
        <w:rPr>
          <w:rFonts w:hint="eastAsia" w:ascii="宋体" w:hAnsi="宋体" w:cs="宋体"/>
          <w:b/>
          <w:bCs/>
          <w:color w:val="auto"/>
        </w:rPr>
        <w:t>企业规模划分</w:t>
      </w:r>
    </w:p>
    <w:p>
      <w:pPr>
        <w:widowControl/>
        <w:spacing w:line="360" w:lineRule="auto"/>
        <w:ind w:firstLine="420" w:firstLineChars="200"/>
        <w:rPr>
          <w:rFonts w:ascii="宋体"/>
          <w:b/>
          <w:bCs/>
          <w:color w:val="auto"/>
          <w:kern w:val="0"/>
        </w:rPr>
      </w:pPr>
      <w:r>
        <w:rPr>
          <w:rFonts w:hint="eastAsia" w:ascii="宋体" w:cs="宋体"/>
          <w:color w:val="auto"/>
        </w:rPr>
        <w:t>按照国家统计局</w:t>
      </w:r>
      <w:r>
        <w:rPr>
          <w:rFonts w:ascii="宋体" w:cs="宋体"/>
          <w:color w:val="auto"/>
        </w:rPr>
        <w:t>2017</w:t>
      </w:r>
      <w:r>
        <w:rPr>
          <w:rFonts w:hint="eastAsia" w:ascii="宋体" w:cs="宋体"/>
          <w:color w:val="auto"/>
        </w:rPr>
        <w:t>年</w:t>
      </w:r>
      <w:r>
        <w:rPr>
          <w:rFonts w:ascii="宋体" w:cs="宋体"/>
          <w:color w:val="auto"/>
        </w:rPr>
        <w:t>12</w:t>
      </w:r>
      <w:r>
        <w:rPr>
          <w:rFonts w:hint="eastAsia" w:ascii="宋体" w:cs="宋体"/>
          <w:color w:val="auto"/>
        </w:rPr>
        <w:t>月</w:t>
      </w:r>
      <w:r>
        <w:rPr>
          <w:rFonts w:ascii="宋体" w:cs="宋体"/>
          <w:color w:val="auto"/>
        </w:rPr>
        <w:t>28</w:t>
      </w:r>
      <w:r>
        <w:rPr>
          <w:rFonts w:hint="eastAsia" w:ascii="宋体" w:cs="宋体"/>
          <w:color w:val="auto"/>
        </w:rPr>
        <w:t>日印发的《统计上大中小微型企业划分办法（</w:t>
      </w:r>
      <w:r>
        <w:rPr>
          <w:rFonts w:ascii="宋体" w:cs="宋体"/>
          <w:color w:val="auto"/>
        </w:rPr>
        <w:t>2017</w:t>
      </w:r>
      <w:r>
        <w:rPr>
          <w:rFonts w:hint="eastAsia" w:ascii="宋体" w:cs="宋体"/>
          <w:color w:val="auto"/>
        </w:rPr>
        <w:t>）》，</w:t>
      </w:r>
      <w:r>
        <w:rPr>
          <w:rFonts w:hint="eastAsia" w:ascii="宋体" w:hAnsi="宋体" w:cs="宋体"/>
          <w:color w:val="auto"/>
        </w:rPr>
        <w:t>生产企业规模以橡胶密封制品年营业收入为标准划分为大、中、小、微型企业。企业规模见表</w:t>
      </w:r>
      <w:r>
        <w:rPr>
          <w:rFonts w:ascii="宋体" w:hAnsi="宋体" w:cs="宋体"/>
          <w:color w:val="auto"/>
        </w:rPr>
        <w:t>1</w:t>
      </w:r>
      <w:r>
        <w:rPr>
          <w:rFonts w:hint="eastAsia" w:ascii="宋体" w:hAnsi="宋体" w:cs="宋体"/>
          <w:color w:val="auto"/>
        </w:rPr>
        <w:t>。</w:t>
      </w:r>
    </w:p>
    <w:p>
      <w:pPr>
        <w:snapToGrid w:val="0"/>
        <w:spacing w:line="360" w:lineRule="auto"/>
        <w:ind w:firstLine="405" w:firstLineChars="192"/>
        <w:jc w:val="center"/>
        <w:rPr>
          <w:rFonts w:ascii="宋体"/>
          <w:b/>
          <w:bCs/>
          <w:color w:val="auto"/>
        </w:rPr>
      </w:pPr>
      <w:r>
        <w:rPr>
          <w:rFonts w:hint="eastAsia" w:ascii="宋体" w:hAnsi="宋体" w:cs="宋体"/>
          <w:b/>
          <w:bCs/>
          <w:color w:val="auto"/>
        </w:rPr>
        <w:t>表</w:t>
      </w:r>
      <w:r>
        <w:rPr>
          <w:rFonts w:ascii="宋体" w:hAnsi="宋体" w:cs="宋体"/>
          <w:b/>
          <w:bCs/>
          <w:color w:val="auto"/>
        </w:rPr>
        <w:t xml:space="preserve">1  </w:t>
      </w:r>
      <w:r>
        <w:rPr>
          <w:rFonts w:hint="eastAsia" w:ascii="宋体" w:hAnsi="宋体" w:cs="宋体"/>
          <w:b/>
          <w:bCs/>
          <w:color w:val="auto"/>
        </w:rPr>
        <w:t>企业规模划分</w:t>
      </w:r>
    </w:p>
    <w:tbl>
      <w:tblPr>
        <w:tblStyle w:val="5"/>
        <w:tblW w:w="841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81"/>
        <w:gridCol w:w="1446"/>
        <w:gridCol w:w="2076"/>
        <w:gridCol w:w="1476"/>
        <w:gridCol w:w="12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81" w:type="dxa"/>
            <w:vAlign w:val="center"/>
          </w:tcPr>
          <w:p>
            <w:pPr>
              <w:snapToGrid w:val="0"/>
              <w:spacing w:line="440" w:lineRule="exact"/>
              <w:ind w:firstLine="210" w:firstLineChars="100"/>
              <w:rPr>
                <w:rFonts w:ascii="宋体"/>
                <w:color w:val="auto"/>
              </w:rPr>
            </w:pPr>
            <w:r>
              <w:rPr>
                <w:rFonts w:hint="eastAsia" w:ascii="宋体" w:hAnsi="宋体" w:cs="宋体"/>
                <w:color w:val="auto"/>
              </w:rPr>
              <w:t>企业规模</w:t>
            </w:r>
          </w:p>
        </w:tc>
        <w:tc>
          <w:tcPr>
            <w:tcW w:w="1446" w:type="dxa"/>
            <w:vAlign w:val="center"/>
          </w:tcPr>
          <w:p>
            <w:pPr>
              <w:snapToGrid w:val="0"/>
              <w:spacing w:line="440" w:lineRule="exact"/>
              <w:jc w:val="center"/>
              <w:rPr>
                <w:rFonts w:ascii="宋体"/>
                <w:color w:val="auto"/>
              </w:rPr>
            </w:pPr>
            <w:r>
              <w:rPr>
                <w:rFonts w:hint="eastAsia" w:ascii="宋体" w:hAnsi="宋体" w:cs="宋体"/>
                <w:color w:val="auto"/>
              </w:rPr>
              <w:t>大型企业</w:t>
            </w:r>
          </w:p>
        </w:tc>
        <w:tc>
          <w:tcPr>
            <w:tcW w:w="2076" w:type="dxa"/>
            <w:vAlign w:val="center"/>
          </w:tcPr>
          <w:p>
            <w:pPr>
              <w:snapToGrid w:val="0"/>
              <w:spacing w:line="440" w:lineRule="exact"/>
              <w:jc w:val="center"/>
              <w:rPr>
                <w:rFonts w:ascii="宋体"/>
                <w:color w:val="auto"/>
              </w:rPr>
            </w:pPr>
            <w:r>
              <w:rPr>
                <w:rFonts w:hint="eastAsia" w:ascii="宋体" w:hAnsi="宋体" w:cs="宋体"/>
                <w:color w:val="auto"/>
              </w:rPr>
              <w:t>中型企业</w:t>
            </w:r>
          </w:p>
        </w:tc>
        <w:tc>
          <w:tcPr>
            <w:tcW w:w="1476" w:type="dxa"/>
            <w:vAlign w:val="center"/>
          </w:tcPr>
          <w:p>
            <w:pPr>
              <w:snapToGrid w:val="0"/>
              <w:spacing w:line="440" w:lineRule="exact"/>
              <w:jc w:val="center"/>
              <w:rPr>
                <w:rFonts w:ascii="宋体"/>
                <w:color w:val="auto"/>
              </w:rPr>
            </w:pPr>
            <w:r>
              <w:rPr>
                <w:rFonts w:hint="eastAsia" w:ascii="宋体" w:hAnsi="宋体" w:cs="宋体"/>
                <w:color w:val="auto"/>
              </w:rPr>
              <w:t>小型企业</w:t>
            </w:r>
          </w:p>
        </w:tc>
        <w:tc>
          <w:tcPr>
            <w:tcW w:w="1236" w:type="dxa"/>
          </w:tcPr>
          <w:p>
            <w:pPr>
              <w:snapToGrid w:val="0"/>
              <w:spacing w:line="440" w:lineRule="exact"/>
              <w:jc w:val="center"/>
              <w:rPr>
                <w:rFonts w:ascii="宋体"/>
                <w:color w:val="auto"/>
              </w:rPr>
            </w:pPr>
            <w:r>
              <w:rPr>
                <w:rFonts w:hint="eastAsia" w:ascii="宋体" w:hAnsi="宋体" w:cs="宋体"/>
                <w:color w:val="auto"/>
              </w:rPr>
              <w:t>微型企业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81" w:type="dxa"/>
            <w:vAlign w:val="center"/>
          </w:tcPr>
          <w:p>
            <w:pPr>
              <w:snapToGrid w:val="0"/>
              <w:spacing w:line="440" w:lineRule="exact"/>
              <w:rPr>
                <w:rFonts w:ascii="宋体"/>
                <w:color w:val="auto"/>
              </w:rPr>
            </w:pPr>
            <w:r>
              <w:rPr>
                <w:rFonts w:hint="eastAsia" w:ascii="宋体" w:hAnsi="宋体" w:cs="宋体"/>
                <w:color w:val="auto"/>
                <w:kern w:val="0"/>
              </w:rPr>
              <w:t>营业收入</w:t>
            </w:r>
            <w:r>
              <w:rPr>
                <w:rFonts w:ascii="宋体" w:hAnsi="宋体" w:cs="宋体"/>
                <w:color w:val="auto"/>
                <w:kern w:val="0"/>
              </w:rPr>
              <w:t>(Y)</w:t>
            </w:r>
            <w:r>
              <w:rPr>
                <w:rFonts w:hint="eastAsia" w:ascii="宋体" w:hAnsi="宋体" w:cs="宋体"/>
                <w:color w:val="auto"/>
                <w:kern w:val="0"/>
              </w:rPr>
              <w:t>，万元</w:t>
            </w:r>
          </w:p>
        </w:tc>
        <w:tc>
          <w:tcPr>
            <w:tcW w:w="1446" w:type="dxa"/>
            <w:vAlign w:val="center"/>
          </w:tcPr>
          <w:p>
            <w:pPr>
              <w:snapToGrid w:val="0"/>
              <w:spacing w:line="440" w:lineRule="exact"/>
              <w:jc w:val="center"/>
              <w:rPr>
                <w:rFonts w:ascii="宋体"/>
                <w:color w:val="auto"/>
              </w:rPr>
            </w:pPr>
            <w:r>
              <w:rPr>
                <w:rFonts w:hint="eastAsia" w:ascii="宋体" w:hAnsi="宋体" w:cs="宋体"/>
                <w:color w:val="auto"/>
                <w:kern w:val="0"/>
              </w:rPr>
              <w:t>≥</w:t>
            </w:r>
            <w:r>
              <w:rPr>
                <w:rFonts w:ascii="宋体" w:hAnsi="宋体" w:cs="宋体"/>
                <w:color w:val="auto"/>
                <w:kern w:val="0"/>
              </w:rPr>
              <w:t>40000</w:t>
            </w:r>
          </w:p>
        </w:tc>
        <w:tc>
          <w:tcPr>
            <w:tcW w:w="2076" w:type="dxa"/>
            <w:vAlign w:val="center"/>
          </w:tcPr>
          <w:p>
            <w:pPr>
              <w:snapToGrid w:val="0"/>
              <w:spacing w:line="440" w:lineRule="exact"/>
              <w:jc w:val="center"/>
              <w:rPr>
                <w:rFonts w:ascii="宋体"/>
                <w:color w:val="auto"/>
              </w:rPr>
            </w:pPr>
            <w:r>
              <w:rPr>
                <w:rFonts w:ascii="宋体" w:hAnsi="宋体" w:cs="宋体"/>
                <w:color w:val="auto"/>
                <w:kern w:val="0"/>
              </w:rPr>
              <w:t>2000</w:t>
            </w:r>
            <w:r>
              <w:rPr>
                <w:rFonts w:hint="eastAsia" w:ascii="宋体" w:hAnsi="宋体" w:cs="宋体"/>
                <w:color w:val="auto"/>
                <w:kern w:val="0"/>
              </w:rPr>
              <w:t>≤</w:t>
            </w:r>
            <w:r>
              <w:rPr>
                <w:rFonts w:ascii="宋体" w:hAnsi="宋体" w:cs="宋体"/>
                <w:color w:val="auto"/>
                <w:kern w:val="0"/>
              </w:rPr>
              <w:t>Y</w:t>
            </w:r>
            <w:r>
              <w:rPr>
                <w:rFonts w:hint="eastAsia" w:ascii="宋体" w:hAnsi="宋体" w:cs="宋体"/>
                <w:color w:val="auto"/>
                <w:kern w:val="0"/>
              </w:rPr>
              <w:t>＜</w:t>
            </w:r>
            <w:r>
              <w:rPr>
                <w:rFonts w:ascii="宋体" w:hAnsi="宋体" w:cs="宋体"/>
                <w:color w:val="auto"/>
                <w:kern w:val="0"/>
              </w:rPr>
              <w:t>40000</w:t>
            </w:r>
          </w:p>
        </w:tc>
        <w:tc>
          <w:tcPr>
            <w:tcW w:w="1476" w:type="dxa"/>
            <w:vAlign w:val="center"/>
          </w:tcPr>
          <w:p>
            <w:pPr>
              <w:snapToGrid w:val="0"/>
              <w:spacing w:line="440" w:lineRule="exact"/>
              <w:jc w:val="center"/>
              <w:rPr>
                <w:rFonts w:ascii="宋体"/>
                <w:color w:val="auto"/>
              </w:rPr>
            </w:pPr>
            <w:r>
              <w:rPr>
                <w:rFonts w:ascii="宋体" w:hAnsi="宋体" w:cs="宋体"/>
                <w:color w:val="auto"/>
                <w:kern w:val="0"/>
              </w:rPr>
              <w:t>300</w:t>
            </w:r>
            <w:r>
              <w:rPr>
                <w:rFonts w:hint="eastAsia" w:ascii="宋体" w:hAnsi="宋体" w:cs="宋体"/>
                <w:color w:val="auto"/>
                <w:kern w:val="0"/>
              </w:rPr>
              <w:t>≤</w:t>
            </w:r>
            <w:r>
              <w:rPr>
                <w:rFonts w:ascii="宋体" w:hAnsi="宋体" w:cs="宋体"/>
                <w:color w:val="auto"/>
                <w:kern w:val="0"/>
              </w:rPr>
              <w:t>Y</w:t>
            </w:r>
            <w:r>
              <w:rPr>
                <w:rFonts w:hint="eastAsia" w:ascii="宋体" w:hAnsi="宋体" w:cs="宋体"/>
                <w:color w:val="auto"/>
                <w:kern w:val="0"/>
              </w:rPr>
              <w:t>＜</w:t>
            </w:r>
            <w:r>
              <w:rPr>
                <w:rFonts w:ascii="宋体" w:hAnsi="宋体" w:cs="宋体"/>
                <w:color w:val="auto"/>
                <w:kern w:val="0"/>
              </w:rPr>
              <w:t>2000</w:t>
            </w:r>
          </w:p>
        </w:tc>
        <w:tc>
          <w:tcPr>
            <w:tcW w:w="1236" w:type="dxa"/>
          </w:tcPr>
          <w:p>
            <w:pPr>
              <w:snapToGrid w:val="0"/>
              <w:spacing w:line="440" w:lineRule="exact"/>
              <w:ind w:firstLine="210" w:firstLineChars="100"/>
              <w:rPr>
                <w:rFonts w:ascii="宋体"/>
                <w:color w:val="auto"/>
              </w:rPr>
            </w:pPr>
            <w:r>
              <w:rPr>
                <w:rFonts w:ascii="宋体" w:hAnsi="宋体" w:cs="宋体"/>
                <w:color w:val="auto"/>
                <w:kern w:val="0"/>
              </w:rPr>
              <w:t>Y</w:t>
            </w:r>
            <w:r>
              <w:rPr>
                <w:rFonts w:hint="eastAsia" w:ascii="宋体" w:hAnsi="宋体" w:cs="宋体"/>
                <w:color w:val="auto"/>
                <w:kern w:val="0"/>
              </w:rPr>
              <w:t>＜</w:t>
            </w:r>
            <w:r>
              <w:rPr>
                <w:rFonts w:ascii="宋体" w:hAnsi="宋体" w:cs="宋体"/>
                <w:color w:val="auto"/>
                <w:kern w:val="0"/>
              </w:rPr>
              <w:t>300</w:t>
            </w:r>
          </w:p>
        </w:tc>
      </w:tr>
    </w:tbl>
    <w:p>
      <w:pPr>
        <w:snapToGrid w:val="0"/>
        <w:spacing w:beforeLines="50" w:line="360" w:lineRule="auto"/>
        <w:rPr>
          <w:rFonts w:ascii="宋体"/>
          <w:b/>
          <w:bCs/>
          <w:color w:val="auto"/>
        </w:rPr>
      </w:pPr>
      <w:r>
        <w:rPr>
          <w:rFonts w:ascii="宋体" w:hAnsi="宋体" w:cs="宋体"/>
          <w:b/>
          <w:bCs/>
          <w:color w:val="auto"/>
        </w:rPr>
        <w:t xml:space="preserve">5 </w:t>
      </w:r>
      <w:r>
        <w:rPr>
          <w:rFonts w:hint="eastAsia" w:ascii="宋体" w:hAnsi="宋体" w:cs="宋体"/>
          <w:b/>
          <w:bCs/>
          <w:color w:val="auto"/>
        </w:rPr>
        <w:t>检验依据</w:t>
      </w:r>
    </w:p>
    <w:p>
      <w:pPr>
        <w:spacing w:line="360" w:lineRule="auto"/>
        <w:ind w:firstLine="420"/>
        <w:rPr>
          <w:rFonts w:ascii="宋体" w:cs="宋体"/>
          <w:color w:val="auto"/>
        </w:rPr>
      </w:pPr>
      <w:r>
        <w:rPr>
          <w:rFonts w:hint="eastAsia" w:ascii="宋体" w:hAnsi="宋体" w:cs="宋体"/>
          <w:color w:val="auto"/>
        </w:rPr>
        <w:t>凡是注日期的文件，其随后所有的修改单（不包括勘误的内容）或修订版不适用于本细则。凡是不注日期的引用文件，其最新版本适用于本细则。</w:t>
      </w:r>
    </w:p>
    <w:p>
      <w:pPr>
        <w:spacing w:line="360" w:lineRule="auto"/>
        <w:ind w:firstLine="420"/>
        <w:rPr>
          <w:rFonts w:ascii="宋体"/>
          <w:color w:val="auto"/>
        </w:rPr>
      </w:pPr>
      <w:r>
        <w:rPr>
          <w:rFonts w:ascii="宋体" w:hAnsi="宋体" w:cs="宋体"/>
          <w:color w:val="auto"/>
          <w:kern w:val="0"/>
        </w:rPr>
        <w:t xml:space="preserve">GB/T 7984-2013  </w:t>
      </w:r>
      <w:r>
        <w:rPr>
          <w:rFonts w:hint="eastAsia" w:ascii="宋体" w:hAnsi="宋体" w:cs="宋体"/>
          <w:color w:val="auto"/>
          <w:kern w:val="0"/>
        </w:rPr>
        <w:t>普通用途织物芯输送带</w:t>
      </w:r>
    </w:p>
    <w:p>
      <w:pPr>
        <w:spacing w:line="360" w:lineRule="auto"/>
        <w:ind w:firstLine="420"/>
        <w:rPr>
          <w:rFonts w:ascii="宋体"/>
          <w:color w:val="auto"/>
        </w:rPr>
      </w:pPr>
      <w:r>
        <w:rPr>
          <w:rFonts w:ascii="宋体" w:hAnsi="宋体" w:cs="宋体"/>
          <w:color w:val="auto"/>
          <w:kern w:val="0"/>
        </w:rPr>
        <w:t xml:space="preserve">HG 2297-1992  </w:t>
      </w:r>
      <w:r>
        <w:rPr>
          <w:rFonts w:hint="eastAsia" w:ascii="宋体" w:hAnsi="宋体" w:cs="宋体"/>
          <w:color w:val="auto"/>
          <w:kern w:val="0"/>
        </w:rPr>
        <w:t>耐热输送带</w:t>
      </w:r>
    </w:p>
    <w:p>
      <w:pPr>
        <w:spacing w:line="360" w:lineRule="auto"/>
        <w:ind w:firstLine="420"/>
        <w:rPr>
          <w:rFonts w:ascii="宋体"/>
          <w:color w:val="auto"/>
        </w:rPr>
      </w:pPr>
      <w:r>
        <w:rPr>
          <w:rFonts w:ascii="宋体" w:hAnsi="宋体" w:cs="宋体"/>
          <w:color w:val="auto"/>
        </w:rPr>
        <w:t xml:space="preserve">GB/T 528  </w:t>
      </w:r>
      <w:r>
        <w:rPr>
          <w:rFonts w:hint="eastAsia" w:ascii="宋体" w:hAnsi="宋体" w:cs="宋体"/>
          <w:color w:val="auto"/>
        </w:rPr>
        <w:t>硫化橡胶或热塑性橡胶拉伸应力应变性能的测定</w:t>
      </w:r>
    </w:p>
    <w:p>
      <w:pPr>
        <w:spacing w:line="360" w:lineRule="auto"/>
        <w:ind w:firstLine="420"/>
        <w:rPr>
          <w:rFonts w:ascii="宋体"/>
          <w:color w:val="auto"/>
        </w:rPr>
      </w:pPr>
      <w:r>
        <w:rPr>
          <w:rFonts w:ascii="宋体" w:hAnsi="宋体" w:cs="宋体"/>
          <w:color w:val="auto"/>
        </w:rPr>
        <w:t>GB</w:t>
      </w:r>
      <w:r>
        <w:rPr>
          <w:rFonts w:hint="eastAsia" w:ascii="宋体" w:hAnsi="宋体" w:cs="宋体"/>
          <w:color w:val="auto"/>
        </w:rPr>
        <w:t>∕</w:t>
      </w:r>
      <w:r>
        <w:rPr>
          <w:rFonts w:ascii="宋体" w:hAnsi="宋体" w:cs="宋体"/>
          <w:color w:val="auto"/>
        </w:rPr>
        <w:t xml:space="preserve">T 3690  </w:t>
      </w:r>
      <w:r>
        <w:rPr>
          <w:rFonts w:hint="eastAsia" w:ascii="宋体" w:hAnsi="宋体" w:cs="宋体"/>
          <w:color w:val="auto"/>
        </w:rPr>
        <w:t>织物芯输送带全厚度拉伸强度、拉断伸长率和参考力伸长率试验方法</w:t>
      </w:r>
    </w:p>
    <w:p>
      <w:pPr>
        <w:spacing w:line="360" w:lineRule="auto"/>
        <w:ind w:firstLine="420"/>
        <w:rPr>
          <w:rFonts w:ascii="宋体"/>
          <w:color w:val="auto"/>
        </w:rPr>
      </w:pPr>
      <w:r>
        <w:rPr>
          <w:rFonts w:ascii="宋体" w:hAnsi="宋体" w:cs="宋体"/>
          <w:color w:val="auto"/>
        </w:rPr>
        <w:t xml:space="preserve">GB/T 6031  </w:t>
      </w:r>
      <w:r>
        <w:rPr>
          <w:rFonts w:hint="eastAsia" w:ascii="宋体" w:hAnsi="宋体" w:cs="宋体"/>
          <w:color w:val="auto"/>
        </w:rPr>
        <w:t>硫化橡胶或热塑性橡胶硬度的测定</w:t>
      </w:r>
      <w:r>
        <w:rPr>
          <w:rFonts w:ascii="宋体" w:hAnsi="宋体" w:cs="宋体"/>
          <w:color w:val="auto"/>
        </w:rPr>
        <w:t>(10 IRHD</w:t>
      </w:r>
      <w:r>
        <w:rPr>
          <w:rFonts w:hint="eastAsia" w:ascii="宋体" w:hAnsi="宋体" w:cs="宋体"/>
          <w:color w:val="auto"/>
        </w:rPr>
        <w:t>～</w:t>
      </w:r>
      <w:r>
        <w:rPr>
          <w:rFonts w:ascii="宋体" w:hAnsi="宋体" w:cs="宋体"/>
          <w:color w:val="auto"/>
        </w:rPr>
        <w:t>100 IRHD)</w:t>
      </w:r>
    </w:p>
    <w:p>
      <w:pPr>
        <w:spacing w:line="360" w:lineRule="auto"/>
        <w:ind w:firstLine="420"/>
        <w:rPr>
          <w:rFonts w:ascii="宋体"/>
          <w:color w:val="auto"/>
        </w:rPr>
      </w:pPr>
      <w:r>
        <w:rPr>
          <w:rFonts w:ascii="宋体" w:hAnsi="宋体" w:cs="宋体"/>
          <w:color w:val="auto"/>
        </w:rPr>
        <w:t xml:space="preserve">GB/T 6759  </w:t>
      </w:r>
      <w:r>
        <w:rPr>
          <w:rFonts w:hint="eastAsia" w:ascii="宋体" w:hAnsi="宋体" w:cs="宋体"/>
          <w:color w:val="auto"/>
        </w:rPr>
        <w:t>输送带层间粘合强度试验方法</w:t>
      </w:r>
    </w:p>
    <w:p>
      <w:pPr>
        <w:spacing w:line="360" w:lineRule="auto"/>
        <w:ind w:firstLine="420"/>
        <w:rPr>
          <w:rFonts w:ascii="宋体"/>
          <w:color w:val="auto"/>
        </w:rPr>
      </w:pPr>
      <w:r>
        <w:rPr>
          <w:rFonts w:ascii="宋体" w:hAnsi="宋体" w:cs="宋体"/>
          <w:color w:val="auto"/>
        </w:rPr>
        <w:t xml:space="preserve">GB/T </w:t>
      </w:r>
      <w:r>
        <w:rPr>
          <w:color w:val="auto"/>
        </w:rPr>
        <w:fldChar w:fldCharType="begin"/>
      </w:r>
      <w:r>
        <w:rPr>
          <w:color w:val="auto"/>
        </w:rPr>
        <w:instrText xml:space="preserve"> HYPERLINK "http://www.so.com/link?m=aGkCp2Bi%2B2K6J2Mw3WpK2ssnAeocq7zAbKMDRyJ1Yt6coDQexj0dp%2BUzbExiKhQTmL4%2BZLYHg5UIc0koGDVE2cWMGyfwsD8e2mh8N4t1NBQ5Z763U" \t "_blank" </w:instrText>
      </w:r>
      <w:r>
        <w:rPr>
          <w:color w:val="auto"/>
        </w:rPr>
        <w:fldChar w:fldCharType="separate"/>
      </w:r>
      <w:r>
        <w:rPr>
          <w:rFonts w:ascii="宋体" w:hAnsi="宋体" w:cs="宋体"/>
          <w:color w:val="auto"/>
        </w:rPr>
        <w:t xml:space="preserve">7983  </w:t>
      </w:r>
      <w:r>
        <w:rPr>
          <w:rFonts w:hint="eastAsia" w:ascii="宋体" w:hAnsi="宋体" w:cs="宋体"/>
          <w:color w:val="auto"/>
        </w:rPr>
        <w:t>输送带横向柔性</w:t>
      </w:r>
      <w:r>
        <w:rPr>
          <w:rFonts w:ascii="宋体" w:hAnsi="宋体" w:cs="宋体"/>
          <w:color w:val="auto"/>
        </w:rPr>
        <w:t>(</w:t>
      </w:r>
      <w:r>
        <w:rPr>
          <w:rFonts w:hint="eastAsia" w:ascii="宋体" w:hAnsi="宋体" w:cs="宋体"/>
          <w:color w:val="auto"/>
        </w:rPr>
        <w:t>成槽性</w:t>
      </w:r>
      <w:r>
        <w:rPr>
          <w:rFonts w:ascii="宋体" w:hAnsi="宋体" w:cs="宋体"/>
          <w:color w:val="auto"/>
        </w:rPr>
        <w:t xml:space="preserve">) </w:t>
      </w:r>
      <w:r>
        <w:rPr>
          <w:rFonts w:hint="eastAsia" w:ascii="宋体" w:hAnsi="宋体" w:cs="宋体"/>
          <w:color w:val="auto"/>
        </w:rPr>
        <w:t>试验方法</w:t>
      </w:r>
      <w:r>
        <w:rPr>
          <w:rFonts w:hint="eastAsia" w:ascii="宋体" w:hAnsi="宋体" w:cs="宋体"/>
          <w:color w:val="auto"/>
        </w:rPr>
        <w:fldChar w:fldCharType="end"/>
      </w:r>
    </w:p>
    <w:p>
      <w:pPr>
        <w:spacing w:line="360" w:lineRule="auto"/>
        <w:ind w:firstLine="420"/>
        <w:rPr>
          <w:rFonts w:ascii="宋体"/>
          <w:color w:val="auto"/>
        </w:rPr>
      </w:pPr>
      <w:r>
        <w:rPr>
          <w:rFonts w:hint="eastAsia" w:ascii="宋体" w:hAnsi="宋体" w:cs="宋体"/>
          <w:color w:val="auto"/>
        </w:rPr>
        <w:t>相关的法律法规、部门规章和规范</w:t>
      </w:r>
    </w:p>
    <w:p>
      <w:pPr>
        <w:snapToGrid w:val="0"/>
        <w:spacing w:line="360" w:lineRule="auto"/>
        <w:ind w:firstLine="420" w:firstLineChars="200"/>
        <w:jc w:val="left"/>
        <w:rPr>
          <w:rFonts w:ascii="宋体"/>
          <w:color w:val="auto"/>
        </w:rPr>
      </w:pPr>
      <w:r>
        <w:rPr>
          <w:rFonts w:hint="eastAsia" w:ascii="宋体" w:hAnsi="宋体" w:cs="宋体"/>
          <w:color w:val="auto"/>
        </w:rPr>
        <w:t>经在全国企业标准信息公共服务平台自我声明公开或备案有效期内现行有效的企业标准及产品明示质量要求</w:t>
      </w:r>
    </w:p>
    <w:p>
      <w:pPr>
        <w:snapToGrid w:val="0"/>
        <w:spacing w:line="360" w:lineRule="auto"/>
        <w:rPr>
          <w:rFonts w:ascii="宋体"/>
          <w:color w:val="auto"/>
        </w:rPr>
      </w:pPr>
      <w:r>
        <w:rPr>
          <w:rFonts w:ascii="宋体" w:hAnsi="宋体" w:cs="宋体"/>
          <w:b/>
          <w:bCs/>
          <w:color w:val="auto"/>
        </w:rPr>
        <w:t xml:space="preserve">6 </w:t>
      </w:r>
      <w:r>
        <w:rPr>
          <w:rFonts w:hint="eastAsia" w:ascii="宋体" w:hAnsi="宋体" w:cs="宋体"/>
          <w:b/>
          <w:bCs/>
          <w:color w:val="auto"/>
        </w:rPr>
        <w:t>抽</w:t>
      </w:r>
      <w:r>
        <w:rPr>
          <w:rFonts w:hint="eastAsia" w:ascii="宋体" w:hAnsi="宋体" w:cs="宋体"/>
          <w:color w:val="auto"/>
        </w:rPr>
        <w:t>样</w:t>
      </w:r>
    </w:p>
    <w:p>
      <w:pPr>
        <w:snapToGrid w:val="0"/>
        <w:spacing w:line="360" w:lineRule="auto"/>
        <w:rPr>
          <w:rFonts w:ascii="宋体"/>
          <w:b/>
          <w:bCs/>
          <w:color w:val="auto"/>
        </w:rPr>
      </w:pPr>
      <w:r>
        <w:rPr>
          <w:rFonts w:ascii="宋体" w:hAnsi="宋体" w:cs="宋体"/>
          <w:b/>
          <w:bCs/>
          <w:color w:val="auto"/>
        </w:rPr>
        <w:t xml:space="preserve">6.1 </w:t>
      </w:r>
      <w:r>
        <w:rPr>
          <w:rFonts w:hint="eastAsia" w:ascii="宋体" w:hAnsi="宋体" w:cs="宋体"/>
          <w:b/>
          <w:bCs/>
          <w:color w:val="auto"/>
        </w:rPr>
        <w:t>抽样规格</w:t>
      </w:r>
    </w:p>
    <w:p>
      <w:pPr>
        <w:snapToGrid w:val="0"/>
        <w:spacing w:line="360" w:lineRule="auto"/>
        <w:ind w:firstLine="403" w:firstLineChars="192"/>
        <w:rPr>
          <w:rFonts w:ascii="宋体"/>
          <w:color w:val="auto"/>
        </w:rPr>
      </w:pPr>
      <w:r>
        <w:rPr>
          <w:rFonts w:hint="eastAsia" w:ascii="宋体" w:hAnsi="宋体" w:cs="宋体"/>
          <w:color w:val="auto"/>
        </w:rPr>
        <w:t>抽取品种为受检企业当年产量最大的规格产品。</w:t>
      </w:r>
    </w:p>
    <w:p>
      <w:pPr>
        <w:snapToGrid w:val="0"/>
        <w:spacing w:line="360" w:lineRule="auto"/>
        <w:rPr>
          <w:rFonts w:ascii="宋体"/>
          <w:b/>
          <w:bCs/>
          <w:color w:val="auto"/>
        </w:rPr>
      </w:pPr>
      <w:r>
        <w:rPr>
          <w:rFonts w:ascii="宋体" w:hAnsi="宋体" w:cs="宋体"/>
          <w:b/>
          <w:bCs/>
          <w:color w:val="auto"/>
        </w:rPr>
        <w:t xml:space="preserve">6.2 </w:t>
      </w:r>
      <w:r>
        <w:rPr>
          <w:rFonts w:hint="eastAsia" w:ascii="宋体" w:hAnsi="宋体" w:cs="宋体"/>
          <w:b/>
          <w:bCs/>
          <w:color w:val="auto"/>
        </w:rPr>
        <w:t>抽样方法、基数、数量及注意事项</w:t>
      </w:r>
    </w:p>
    <w:p>
      <w:pPr>
        <w:snapToGrid w:val="0"/>
        <w:spacing w:line="360" w:lineRule="auto"/>
        <w:rPr>
          <w:rFonts w:ascii="宋体"/>
          <w:color w:val="auto"/>
        </w:rPr>
      </w:pPr>
      <w:r>
        <w:rPr>
          <w:rFonts w:ascii="宋体" w:hAnsi="宋体" w:cs="宋体"/>
          <w:color w:val="auto"/>
        </w:rPr>
        <w:t xml:space="preserve">6.2.1 </w:t>
      </w:r>
      <w:r>
        <w:rPr>
          <w:rFonts w:hint="eastAsia" w:ascii="宋体" w:hAnsi="宋体" w:cs="宋体"/>
          <w:color w:val="auto"/>
        </w:rPr>
        <w:t>抽样方法</w:t>
      </w:r>
    </w:p>
    <w:p>
      <w:pPr>
        <w:snapToGrid w:val="0"/>
        <w:spacing w:line="360" w:lineRule="auto"/>
        <w:ind w:firstLine="403" w:firstLineChars="192"/>
        <w:rPr>
          <w:rFonts w:ascii="宋体"/>
          <w:color w:val="auto"/>
        </w:rPr>
      </w:pPr>
      <w:r>
        <w:rPr>
          <w:rFonts w:hint="eastAsia" w:ascii="宋体" w:hAnsi="宋体" w:cs="宋体"/>
          <w:color w:val="auto"/>
        </w:rPr>
        <w:t>在受检单位的成品库或在流通领域（实体店或网络交易平台）待销产品中随机抽取有产品质量检验合格证明或者其他形式表明合格的、近期生产的同一批次产品（特殊情况除外）。</w:t>
      </w:r>
    </w:p>
    <w:p>
      <w:pPr>
        <w:snapToGrid w:val="0"/>
        <w:spacing w:line="360" w:lineRule="auto"/>
        <w:ind w:firstLine="403" w:firstLineChars="192"/>
        <w:rPr>
          <w:rFonts w:ascii="宋体"/>
          <w:color w:val="auto"/>
        </w:rPr>
      </w:pPr>
      <w:r>
        <w:rPr>
          <w:rFonts w:hint="eastAsia" w:ascii="宋体" w:hAnsi="宋体" w:cs="宋体"/>
          <w:color w:val="auto"/>
        </w:rPr>
        <w:t>随机数一般可使用随机数表、骰子或扑克牌等方法产生。</w:t>
      </w:r>
    </w:p>
    <w:p>
      <w:pPr>
        <w:snapToGrid w:val="0"/>
        <w:spacing w:line="360" w:lineRule="auto"/>
        <w:ind w:firstLine="403" w:firstLineChars="192"/>
        <w:rPr>
          <w:rFonts w:ascii="宋体"/>
          <w:color w:val="auto"/>
        </w:rPr>
      </w:pPr>
      <w:r>
        <w:rPr>
          <w:rFonts w:ascii="宋体" w:hAnsi="宋体" w:cs="宋体"/>
          <w:color w:val="auto"/>
        </w:rPr>
        <w:t xml:space="preserve">6.2.2 </w:t>
      </w:r>
      <w:r>
        <w:rPr>
          <w:rFonts w:hint="eastAsia" w:ascii="宋体" w:hAnsi="宋体" w:cs="宋体"/>
          <w:color w:val="auto"/>
        </w:rPr>
        <w:t>抽样基数</w:t>
      </w:r>
    </w:p>
    <w:p>
      <w:pPr>
        <w:snapToGrid w:val="0"/>
        <w:spacing w:line="360" w:lineRule="auto"/>
        <w:ind w:firstLine="403" w:firstLineChars="192"/>
        <w:rPr>
          <w:color w:val="auto"/>
        </w:rPr>
      </w:pPr>
      <w:r>
        <w:rPr>
          <w:rFonts w:hint="eastAsia" w:ascii="宋体" w:hAnsi="宋体" w:cs="宋体"/>
          <w:color w:val="auto"/>
        </w:rPr>
        <w:t>应抽查同品质、型号或同规格、同款式、同一批次的产品。在生产企业监督抽查同一批次产品的抽样基数应不少于抽取样品量，在</w:t>
      </w:r>
      <w:r>
        <w:rPr>
          <w:rFonts w:hint="eastAsia" w:cs="宋体"/>
          <w:color w:val="auto"/>
        </w:rPr>
        <w:t>流通领域抽查的抽样基数满足抽样数量即可。</w:t>
      </w:r>
    </w:p>
    <w:p>
      <w:pPr>
        <w:tabs>
          <w:tab w:val="left" w:pos="1320"/>
        </w:tabs>
        <w:snapToGrid w:val="0"/>
        <w:spacing w:line="440" w:lineRule="exact"/>
        <w:rPr>
          <w:rFonts w:ascii="宋体"/>
          <w:color w:val="auto"/>
        </w:rPr>
      </w:pPr>
      <w:r>
        <w:rPr>
          <w:rFonts w:ascii="宋体" w:hAnsi="宋体" w:cs="宋体"/>
          <w:color w:val="auto"/>
        </w:rPr>
        <w:t xml:space="preserve">6.2.3 </w:t>
      </w:r>
      <w:r>
        <w:rPr>
          <w:rFonts w:hint="eastAsia" w:ascii="宋体" w:hAnsi="宋体" w:cs="宋体"/>
          <w:color w:val="auto"/>
        </w:rPr>
        <w:t>抽样数量</w:t>
      </w:r>
    </w:p>
    <w:p>
      <w:pPr>
        <w:pStyle w:val="4"/>
        <w:spacing w:before="0" w:beforeAutospacing="0" w:after="0" w:afterAutospacing="0" w:line="360" w:lineRule="auto"/>
        <w:rPr>
          <w:rFonts w:cs="Times New Roman"/>
          <w:color w:val="auto"/>
          <w:sz w:val="21"/>
          <w:szCs w:val="21"/>
        </w:rPr>
      </w:pPr>
      <w:r>
        <w:rPr>
          <w:color w:val="auto"/>
          <w:sz w:val="21"/>
          <w:szCs w:val="21"/>
        </w:rPr>
        <w:t>6.2.2.1</w:t>
      </w:r>
      <w:r>
        <w:rPr>
          <w:rFonts w:hint="eastAsia"/>
          <w:color w:val="auto"/>
          <w:sz w:val="21"/>
          <w:szCs w:val="21"/>
        </w:rPr>
        <w:t>生产企业抽样数量</w:t>
      </w:r>
      <w:r>
        <w:rPr>
          <w:rFonts w:hint="eastAsia" w:ascii="Times New Roman" w:hAnsi="Times New Roman"/>
          <w:color w:val="auto"/>
          <w:kern w:val="2"/>
          <w:sz w:val="21"/>
          <w:szCs w:val="21"/>
        </w:rPr>
        <w:t>见表</w:t>
      </w:r>
      <w:r>
        <w:rPr>
          <w:rFonts w:ascii="Times New Roman" w:hAnsi="Times New Roman" w:cs="Times New Roman"/>
          <w:color w:val="auto"/>
          <w:kern w:val="2"/>
          <w:sz w:val="21"/>
          <w:szCs w:val="21"/>
        </w:rPr>
        <w:t>2</w:t>
      </w:r>
    </w:p>
    <w:p>
      <w:pPr>
        <w:snapToGrid w:val="0"/>
        <w:spacing w:line="440" w:lineRule="exact"/>
        <w:ind w:firstLine="3343" w:firstLineChars="1592"/>
        <w:rPr>
          <w:rFonts w:ascii="宋体"/>
          <w:color w:val="auto"/>
        </w:rPr>
      </w:pPr>
      <w:r>
        <w:rPr>
          <w:rFonts w:hint="eastAsia" w:ascii="宋体" w:hAnsi="宋体" w:cs="宋体"/>
          <w:color w:val="auto"/>
        </w:rPr>
        <w:t>表</w:t>
      </w:r>
      <w:r>
        <w:rPr>
          <w:rFonts w:ascii="宋体" w:hAnsi="宋体" w:cs="宋体"/>
          <w:color w:val="auto"/>
        </w:rPr>
        <w:t xml:space="preserve">2 </w:t>
      </w:r>
      <w:r>
        <w:rPr>
          <w:rFonts w:hint="eastAsia" w:ascii="宋体" w:hAnsi="宋体" w:cs="宋体"/>
          <w:color w:val="auto"/>
        </w:rPr>
        <w:t>抽样数量</w:t>
      </w:r>
    </w:p>
    <w:tbl>
      <w:tblPr>
        <w:tblStyle w:val="5"/>
        <w:tblW w:w="87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36"/>
        <w:gridCol w:w="2127"/>
        <w:gridCol w:w="20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536" w:type="dxa"/>
            <w:vMerge w:val="restart"/>
            <w:vAlign w:val="center"/>
          </w:tcPr>
          <w:p>
            <w:pPr>
              <w:tabs>
                <w:tab w:val="left" w:pos="1320"/>
              </w:tabs>
              <w:snapToGrid w:val="0"/>
              <w:spacing w:line="440" w:lineRule="exact"/>
              <w:jc w:val="center"/>
              <w:rPr>
                <w:rFonts w:ascii="宋体"/>
                <w:color w:val="auto"/>
              </w:rPr>
            </w:pPr>
            <w:r>
              <w:rPr>
                <w:rFonts w:hint="eastAsia" w:ascii="宋体" w:hAnsi="宋体" w:cs="宋体"/>
                <w:color w:val="auto"/>
              </w:rPr>
              <w:t>带宽及带长</w:t>
            </w:r>
          </w:p>
        </w:tc>
        <w:tc>
          <w:tcPr>
            <w:tcW w:w="4190" w:type="dxa"/>
            <w:gridSpan w:val="2"/>
            <w:vAlign w:val="center"/>
          </w:tcPr>
          <w:p>
            <w:pPr>
              <w:tabs>
                <w:tab w:val="left" w:pos="1320"/>
              </w:tabs>
              <w:snapToGrid w:val="0"/>
              <w:spacing w:line="440" w:lineRule="exact"/>
              <w:jc w:val="center"/>
              <w:rPr>
                <w:rFonts w:ascii="宋体"/>
                <w:color w:val="auto"/>
              </w:rPr>
            </w:pPr>
            <w:r>
              <w:rPr>
                <w:rFonts w:hint="eastAsia" w:ascii="宋体" w:hAnsi="宋体" w:cs="宋体"/>
                <w:color w:val="auto"/>
              </w:rPr>
              <w:t>抽样数量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536" w:type="dxa"/>
            <w:vMerge w:val="continue"/>
            <w:vAlign w:val="center"/>
          </w:tcPr>
          <w:p>
            <w:pPr>
              <w:tabs>
                <w:tab w:val="left" w:pos="1320"/>
              </w:tabs>
              <w:snapToGrid w:val="0"/>
              <w:spacing w:line="440" w:lineRule="exact"/>
              <w:jc w:val="center"/>
              <w:rPr>
                <w:rFonts w:ascii="宋体"/>
                <w:color w:val="auto"/>
              </w:rPr>
            </w:pPr>
          </w:p>
        </w:tc>
        <w:tc>
          <w:tcPr>
            <w:tcW w:w="2127" w:type="dxa"/>
            <w:vAlign w:val="center"/>
          </w:tcPr>
          <w:p>
            <w:pPr>
              <w:tabs>
                <w:tab w:val="left" w:pos="1320"/>
              </w:tabs>
              <w:snapToGrid w:val="0"/>
              <w:spacing w:line="440" w:lineRule="exact"/>
              <w:jc w:val="center"/>
              <w:rPr>
                <w:rFonts w:ascii="宋体"/>
                <w:color w:val="auto"/>
              </w:rPr>
            </w:pPr>
            <w:r>
              <w:rPr>
                <w:rFonts w:hint="eastAsia" w:ascii="宋体" w:hAnsi="宋体" w:cs="宋体"/>
                <w:color w:val="auto"/>
              </w:rPr>
              <w:t>检验数量（条）</w:t>
            </w:r>
          </w:p>
        </w:tc>
        <w:tc>
          <w:tcPr>
            <w:tcW w:w="2063" w:type="dxa"/>
            <w:vAlign w:val="center"/>
          </w:tcPr>
          <w:p>
            <w:pPr>
              <w:tabs>
                <w:tab w:val="left" w:pos="1320"/>
              </w:tabs>
              <w:snapToGrid w:val="0"/>
              <w:spacing w:line="440" w:lineRule="exact"/>
              <w:jc w:val="center"/>
              <w:rPr>
                <w:rFonts w:ascii="宋体"/>
                <w:color w:val="auto"/>
              </w:rPr>
            </w:pPr>
            <w:r>
              <w:rPr>
                <w:rFonts w:hint="eastAsia" w:ascii="宋体" w:hAnsi="宋体" w:cs="宋体"/>
                <w:color w:val="auto"/>
              </w:rPr>
              <w:t>备样数量（条）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536" w:type="dxa"/>
            <w:vAlign w:val="center"/>
          </w:tcPr>
          <w:p>
            <w:pPr>
              <w:snapToGrid w:val="0"/>
              <w:spacing w:line="440" w:lineRule="exact"/>
              <w:jc w:val="center"/>
              <w:rPr>
                <w:rFonts w:ascii="宋体"/>
                <w:color w:val="auto"/>
              </w:rPr>
            </w:pPr>
            <w:r>
              <w:rPr>
                <w:rFonts w:hint="eastAsia" w:ascii="宋体" w:hAnsi="宋体" w:cs="宋体"/>
                <w:color w:val="auto"/>
              </w:rPr>
              <w:t>带宽不大于</w:t>
            </w:r>
            <w:r>
              <w:rPr>
                <w:rFonts w:ascii="宋体" w:hAnsi="宋体" w:cs="宋体"/>
                <w:color w:val="auto"/>
              </w:rPr>
              <w:t>500mm</w:t>
            </w:r>
            <w:r>
              <w:rPr>
                <w:rFonts w:hint="eastAsia" w:ascii="宋体" w:hAnsi="宋体" w:cs="宋体"/>
                <w:color w:val="auto"/>
              </w:rPr>
              <w:t>或带长不大于</w:t>
            </w:r>
            <w:r>
              <w:rPr>
                <w:rFonts w:ascii="宋体" w:hAnsi="宋体" w:cs="宋体"/>
                <w:color w:val="auto"/>
              </w:rPr>
              <w:t>20m</w:t>
            </w:r>
          </w:p>
        </w:tc>
        <w:tc>
          <w:tcPr>
            <w:tcW w:w="2127" w:type="dxa"/>
            <w:vAlign w:val="center"/>
          </w:tcPr>
          <w:p>
            <w:pPr>
              <w:tabs>
                <w:tab w:val="left" w:pos="1320"/>
              </w:tabs>
              <w:snapToGrid w:val="0"/>
              <w:spacing w:line="360" w:lineRule="exact"/>
              <w:jc w:val="center"/>
              <w:rPr>
                <w:rFonts w:ascii="宋体"/>
                <w:color w:val="auto"/>
              </w:rPr>
            </w:pPr>
            <w:r>
              <w:rPr>
                <w:rFonts w:ascii="宋体" w:hAnsi="宋体" w:cs="宋体"/>
                <w:color w:val="auto"/>
              </w:rPr>
              <w:t>1(</w:t>
            </w:r>
            <w:r>
              <w:rPr>
                <w:rFonts w:hint="eastAsia" w:ascii="宋体" w:hAnsi="宋体" w:cs="宋体"/>
                <w:color w:val="auto"/>
              </w:rPr>
              <w:t>长度</w:t>
            </w:r>
            <w:r>
              <w:rPr>
                <w:rFonts w:ascii="宋体" w:hAnsi="宋体" w:cs="宋体"/>
                <w:color w:val="auto"/>
              </w:rPr>
              <w:t>6m,</w:t>
            </w:r>
            <w:r>
              <w:rPr>
                <w:rFonts w:hint="eastAsia" w:ascii="宋体" w:hAnsi="宋体" w:cs="宋体"/>
                <w:color w:val="auto"/>
              </w:rPr>
              <w:t>宽度为带的全宽度</w:t>
            </w:r>
            <w:r>
              <w:rPr>
                <w:rFonts w:ascii="宋体" w:hAnsi="宋体" w:cs="宋体"/>
                <w:color w:val="auto"/>
              </w:rPr>
              <w:t>)</w:t>
            </w:r>
          </w:p>
        </w:tc>
        <w:tc>
          <w:tcPr>
            <w:tcW w:w="2063" w:type="dxa"/>
            <w:vAlign w:val="center"/>
          </w:tcPr>
          <w:p>
            <w:pPr>
              <w:tabs>
                <w:tab w:val="left" w:pos="1320"/>
              </w:tabs>
              <w:snapToGrid w:val="0"/>
              <w:spacing w:line="360" w:lineRule="exact"/>
              <w:jc w:val="center"/>
              <w:rPr>
                <w:rFonts w:ascii="宋体"/>
                <w:color w:val="auto"/>
              </w:rPr>
            </w:pPr>
            <w:r>
              <w:rPr>
                <w:rFonts w:ascii="宋体" w:hAnsi="宋体" w:cs="宋体"/>
                <w:color w:val="auto"/>
              </w:rPr>
              <w:t>1(</w:t>
            </w:r>
            <w:r>
              <w:rPr>
                <w:rFonts w:hint="eastAsia" w:ascii="宋体" w:hAnsi="宋体" w:cs="宋体"/>
                <w:color w:val="auto"/>
              </w:rPr>
              <w:t>长度</w:t>
            </w:r>
            <w:r>
              <w:rPr>
                <w:rFonts w:ascii="宋体" w:hAnsi="宋体" w:cs="宋体"/>
                <w:color w:val="auto"/>
              </w:rPr>
              <w:t>1m,</w:t>
            </w:r>
            <w:r>
              <w:rPr>
                <w:rFonts w:hint="eastAsia" w:ascii="宋体" w:hAnsi="宋体" w:cs="宋体"/>
                <w:color w:val="auto"/>
              </w:rPr>
              <w:t>宽度为带的全宽度</w:t>
            </w:r>
            <w:r>
              <w:rPr>
                <w:rFonts w:ascii="宋体" w:hAnsi="宋体" w:cs="宋体"/>
                <w:color w:val="auto"/>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536" w:type="dxa"/>
            <w:vAlign w:val="center"/>
          </w:tcPr>
          <w:p>
            <w:pPr>
              <w:snapToGrid w:val="0"/>
              <w:spacing w:line="440" w:lineRule="exact"/>
              <w:jc w:val="center"/>
              <w:rPr>
                <w:rFonts w:ascii="宋体"/>
                <w:color w:val="auto"/>
              </w:rPr>
            </w:pPr>
            <w:r>
              <w:rPr>
                <w:rFonts w:hint="eastAsia" w:ascii="宋体" w:hAnsi="宋体" w:cs="宋体"/>
                <w:color w:val="auto"/>
              </w:rPr>
              <w:t>带宽大于</w:t>
            </w:r>
            <w:r>
              <w:rPr>
                <w:rFonts w:ascii="宋体" w:hAnsi="宋体" w:cs="宋体"/>
                <w:color w:val="auto"/>
              </w:rPr>
              <w:t>500mm</w:t>
            </w:r>
            <w:r>
              <w:rPr>
                <w:rFonts w:hint="eastAsia" w:ascii="宋体" w:hAnsi="宋体" w:cs="宋体"/>
                <w:color w:val="auto"/>
              </w:rPr>
              <w:t>或带长大于</w:t>
            </w:r>
            <w:r>
              <w:rPr>
                <w:rFonts w:ascii="宋体" w:hAnsi="宋体" w:cs="宋体"/>
                <w:color w:val="auto"/>
              </w:rPr>
              <w:t>20m</w:t>
            </w:r>
          </w:p>
        </w:tc>
        <w:tc>
          <w:tcPr>
            <w:tcW w:w="2127" w:type="dxa"/>
            <w:vAlign w:val="center"/>
          </w:tcPr>
          <w:p>
            <w:pPr>
              <w:tabs>
                <w:tab w:val="left" w:pos="1320"/>
              </w:tabs>
              <w:snapToGrid w:val="0"/>
              <w:spacing w:line="360" w:lineRule="exact"/>
              <w:jc w:val="center"/>
              <w:rPr>
                <w:rFonts w:ascii="宋体"/>
                <w:color w:val="auto"/>
              </w:rPr>
            </w:pPr>
            <w:r>
              <w:rPr>
                <w:rFonts w:ascii="宋体" w:hAnsi="宋体" w:cs="宋体"/>
                <w:color w:val="auto"/>
              </w:rPr>
              <w:t>1(</w:t>
            </w:r>
            <w:r>
              <w:rPr>
                <w:rFonts w:hint="eastAsia" w:ascii="宋体" w:hAnsi="宋体" w:cs="宋体"/>
                <w:color w:val="auto"/>
              </w:rPr>
              <w:t>长度</w:t>
            </w:r>
            <w:r>
              <w:rPr>
                <w:rFonts w:ascii="宋体" w:hAnsi="宋体" w:cs="宋体"/>
                <w:color w:val="auto"/>
              </w:rPr>
              <w:t>8m,</w:t>
            </w:r>
            <w:r>
              <w:rPr>
                <w:rFonts w:hint="eastAsia" w:ascii="宋体" w:hAnsi="宋体" w:cs="宋体"/>
                <w:color w:val="auto"/>
              </w:rPr>
              <w:t>宽度为带的全宽度</w:t>
            </w:r>
            <w:r>
              <w:rPr>
                <w:rFonts w:ascii="宋体" w:hAnsi="宋体" w:cs="宋体"/>
                <w:color w:val="auto"/>
              </w:rPr>
              <w:t>)</w:t>
            </w:r>
          </w:p>
        </w:tc>
        <w:tc>
          <w:tcPr>
            <w:tcW w:w="2063" w:type="dxa"/>
            <w:vAlign w:val="center"/>
          </w:tcPr>
          <w:p>
            <w:pPr>
              <w:tabs>
                <w:tab w:val="left" w:pos="1320"/>
              </w:tabs>
              <w:snapToGrid w:val="0"/>
              <w:spacing w:line="360" w:lineRule="exact"/>
              <w:jc w:val="center"/>
              <w:rPr>
                <w:rFonts w:ascii="宋体"/>
                <w:color w:val="auto"/>
              </w:rPr>
            </w:pPr>
            <w:r>
              <w:rPr>
                <w:rFonts w:ascii="宋体" w:hAnsi="宋体" w:cs="宋体"/>
                <w:color w:val="auto"/>
              </w:rPr>
              <w:t>1(</w:t>
            </w:r>
            <w:r>
              <w:rPr>
                <w:rFonts w:hint="eastAsia" w:ascii="宋体" w:hAnsi="宋体" w:cs="宋体"/>
                <w:color w:val="auto"/>
              </w:rPr>
              <w:t>长度</w:t>
            </w:r>
            <w:r>
              <w:rPr>
                <w:rFonts w:ascii="宋体" w:hAnsi="宋体" w:cs="宋体"/>
                <w:color w:val="auto"/>
              </w:rPr>
              <w:t>1m,</w:t>
            </w:r>
            <w:r>
              <w:rPr>
                <w:rFonts w:hint="eastAsia" w:ascii="宋体" w:hAnsi="宋体" w:cs="宋体"/>
                <w:color w:val="auto"/>
              </w:rPr>
              <w:t>宽度为带的全宽度</w:t>
            </w:r>
            <w:r>
              <w:rPr>
                <w:rFonts w:ascii="宋体" w:hAnsi="宋体" w:cs="宋体"/>
                <w:color w:val="auto"/>
              </w:rPr>
              <w:t>)</w:t>
            </w:r>
          </w:p>
        </w:tc>
      </w:tr>
    </w:tbl>
    <w:p>
      <w:pPr>
        <w:snapToGrid w:val="0"/>
        <w:spacing w:line="360" w:lineRule="auto"/>
        <w:ind w:firstLine="403" w:firstLineChars="192"/>
        <w:rPr>
          <w:rFonts w:ascii="宋体"/>
          <w:color w:val="auto"/>
        </w:rPr>
      </w:pPr>
      <w:r>
        <w:rPr>
          <w:rFonts w:hint="eastAsia" w:ascii="宋体" w:hAnsi="宋体" w:cs="宋体"/>
          <w:color w:val="auto"/>
          <w:kern w:val="0"/>
        </w:rPr>
        <w:t>直线度</w:t>
      </w:r>
      <w:r>
        <w:rPr>
          <w:rFonts w:hint="eastAsia" w:ascii="宋体" w:hAnsi="宋体" w:cs="宋体"/>
          <w:color w:val="auto"/>
        </w:rPr>
        <w:t>检验有疑义时，经区市场监督管理局同意可对原样品进行复检，复检合格者判定为合格品，若复检不合格，仍判定不合格。</w:t>
      </w:r>
    </w:p>
    <w:p>
      <w:pPr>
        <w:snapToGrid w:val="0"/>
        <w:spacing w:line="360" w:lineRule="auto"/>
        <w:rPr>
          <w:rFonts w:ascii="宋体"/>
          <w:color w:val="auto"/>
        </w:rPr>
      </w:pPr>
      <w:r>
        <w:rPr>
          <w:rFonts w:ascii="宋体" w:hAnsi="宋体" w:cs="宋体"/>
          <w:color w:val="auto"/>
        </w:rPr>
        <w:t>6.2.2.2</w:t>
      </w:r>
      <w:r>
        <w:rPr>
          <w:rFonts w:hint="eastAsia" w:ascii="宋体" w:hAnsi="宋体" w:cs="宋体"/>
          <w:color w:val="auto"/>
        </w:rPr>
        <w:t>流通领域抽样基数</w:t>
      </w:r>
    </w:p>
    <w:p>
      <w:pPr>
        <w:snapToGrid w:val="0"/>
        <w:spacing w:line="360" w:lineRule="auto"/>
        <w:ind w:firstLine="403" w:firstLineChars="192"/>
        <w:rPr>
          <w:rFonts w:ascii="宋体"/>
          <w:color w:val="auto"/>
        </w:rPr>
      </w:pPr>
      <w:r>
        <w:rPr>
          <w:rFonts w:hint="eastAsia" w:ascii="宋体" w:hAnsi="宋体" w:cs="宋体"/>
          <w:color w:val="auto"/>
        </w:rPr>
        <w:t>在流通领域（实体店或网络交易平台）随机抽取同型号或同规格、同一批次的输送带产品中随机抽取</w:t>
      </w:r>
      <w:r>
        <w:rPr>
          <w:rFonts w:ascii="宋体" w:hAnsi="宋体" w:cs="宋体"/>
          <w:color w:val="auto"/>
        </w:rPr>
        <w:t>1</w:t>
      </w:r>
      <w:r>
        <w:rPr>
          <w:rFonts w:hint="eastAsia" w:ascii="宋体" w:hAnsi="宋体" w:cs="宋体"/>
          <w:color w:val="auto"/>
        </w:rPr>
        <w:t>卷输送带，在距端部</w:t>
      </w:r>
      <w:r>
        <w:rPr>
          <w:rFonts w:ascii="宋体" w:hAnsi="宋体" w:cs="宋体"/>
          <w:color w:val="auto"/>
        </w:rPr>
        <w:t>0.5</w:t>
      </w:r>
      <w:r>
        <w:rPr>
          <w:rFonts w:hint="eastAsia" w:ascii="宋体" w:hAnsi="宋体" w:cs="宋体"/>
          <w:color w:val="auto"/>
        </w:rPr>
        <w:t>米以上裁取</w:t>
      </w:r>
      <w:r>
        <w:rPr>
          <w:rFonts w:ascii="宋体" w:hAnsi="宋体" w:cs="宋体"/>
          <w:color w:val="auto"/>
        </w:rPr>
        <w:t>1</w:t>
      </w:r>
      <w:r>
        <w:rPr>
          <w:rFonts w:hint="eastAsia" w:ascii="宋体" w:hAnsi="宋体" w:cs="宋体"/>
          <w:color w:val="auto"/>
        </w:rPr>
        <w:t>米长的输送带作为样品，裁取</w:t>
      </w:r>
      <w:r>
        <w:rPr>
          <w:rFonts w:ascii="宋体" w:hAnsi="宋体" w:cs="宋体"/>
          <w:color w:val="auto"/>
        </w:rPr>
        <w:t>2</w:t>
      </w:r>
      <w:r>
        <w:rPr>
          <w:rFonts w:hint="eastAsia" w:ascii="宋体" w:hAnsi="宋体" w:cs="宋体"/>
          <w:color w:val="auto"/>
        </w:rPr>
        <w:t>根样品。</w:t>
      </w:r>
      <w:r>
        <w:rPr>
          <w:rFonts w:ascii="宋体" w:hAnsi="宋体" w:cs="宋体"/>
          <w:color w:val="auto"/>
        </w:rPr>
        <w:t>1</w:t>
      </w:r>
      <w:r>
        <w:rPr>
          <w:rFonts w:hint="eastAsia" w:ascii="宋体" w:hAnsi="宋体" w:cs="宋体"/>
          <w:color w:val="auto"/>
        </w:rPr>
        <w:t>根用于检验，</w:t>
      </w:r>
      <w:r>
        <w:rPr>
          <w:rFonts w:ascii="宋体" w:hAnsi="宋体" w:cs="宋体"/>
          <w:color w:val="auto"/>
        </w:rPr>
        <w:t>1</w:t>
      </w:r>
      <w:r>
        <w:rPr>
          <w:rFonts w:hint="eastAsia" w:ascii="宋体" w:hAnsi="宋体" w:cs="宋体"/>
          <w:color w:val="auto"/>
        </w:rPr>
        <w:t>根用于备样。抽样基数满足抽样数量即可。</w:t>
      </w:r>
    </w:p>
    <w:p>
      <w:pPr>
        <w:snapToGrid w:val="0"/>
        <w:spacing w:line="440" w:lineRule="exact"/>
        <w:rPr>
          <w:color w:val="auto"/>
        </w:rPr>
      </w:pPr>
      <w:r>
        <w:rPr>
          <w:rFonts w:ascii="宋体" w:hAnsi="宋体" w:cs="宋体"/>
          <w:color w:val="auto"/>
        </w:rPr>
        <w:t xml:space="preserve">6.2.4 </w:t>
      </w:r>
      <w:r>
        <w:rPr>
          <w:rFonts w:hint="eastAsia" w:cs="宋体"/>
          <w:color w:val="auto"/>
        </w:rPr>
        <w:t>注意事项</w:t>
      </w:r>
    </w:p>
    <w:p>
      <w:pPr>
        <w:snapToGrid w:val="0"/>
        <w:spacing w:line="360" w:lineRule="auto"/>
        <w:ind w:firstLine="403" w:firstLineChars="192"/>
        <w:rPr>
          <w:rFonts w:ascii="宋体"/>
          <w:color w:val="auto"/>
        </w:rPr>
      </w:pPr>
      <w:r>
        <w:rPr>
          <w:rFonts w:hint="eastAsia" w:ascii="宋体" w:hAnsi="宋体" w:cs="宋体"/>
          <w:color w:val="auto"/>
        </w:rPr>
        <w:t>抽样人员应当使用规定的抽样文书记录抽样信息，并对抽样场所、贮存环境、被抽样产品的标识、库存数量、抽样过程等通过拍照或者录像的方式留存证据。</w:t>
      </w:r>
    </w:p>
    <w:p>
      <w:pPr>
        <w:snapToGrid w:val="0"/>
        <w:spacing w:line="360" w:lineRule="auto"/>
        <w:ind w:firstLine="403" w:firstLineChars="192"/>
        <w:rPr>
          <w:rFonts w:ascii="宋体"/>
          <w:color w:val="auto"/>
        </w:rPr>
      </w:pPr>
      <w:r>
        <w:rPr>
          <w:rFonts w:ascii="宋体" w:hAnsi="宋体" w:cs="宋体"/>
          <w:color w:val="auto"/>
        </w:rPr>
        <w:t xml:space="preserve"> </w:t>
      </w:r>
      <w:r>
        <w:rPr>
          <w:rFonts w:hint="eastAsia" w:ascii="宋体" w:hAnsi="宋体" w:cs="宋体"/>
          <w:color w:val="auto"/>
        </w:rPr>
        <w:t>样品加贴封条前，对产品外观、产品包装及标识（如有时）、产品合格证（如有时）等方面进行拍照，拍取的照片应能够清晰反映所抽样品的相关信息，如生产企业名称、生产地址、产品型号规格、产品等级、生产日期（或生产批号）、执行标准等信息内容。样品加贴封条后，再对检验样品和备用样品分别进行拍照，拍取的照片应能够反映出样品加贴封条完好的全貌。照片由抽样人员传送至检验机构，检验机构出具检验报告时应将样品照片（产品外观、产品包装及标识（如有时）、产品合格证（如有时）以及加贴封条的样品等照片）纳入报告中。</w:t>
      </w:r>
    </w:p>
    <w:p>
      <w:pPr>
        <w:snapToGrid w:val="0"/>
        <w:spacing w:line="360" w:lineRule="auto"/>
        <w:rPr>
          <w:b/>
          <w:bCs/>
          <w:color w:val="auto"/>
        </w:rPr>
      </w:pPr>
      <w:r>
        <w:rPr>
          <w:rFonts w:ascii="宋体" w:hAnsi="宋体" w:cs="宋体"/>
          <w:b/>
          <w:bCs/>
          <w:color w:val="auto"/>
        </w:rPr>
        <w:t xml:space="preserve">6.3 </w:t>
      </w:r>
      <w:r>
        <w:rPr>
          <w:rFonts w:hint="eastAsia" w:ascii="宋体" w:hAnsi="宋体" w:cs="宋体"/>
          <w:b/>
          <w:bCs/>
          <w:color w:val="auto"/>
        </w:rPr>
        <w:t>样</w:t>
      </w:r>
      <w:r>
        <w:rPr>
          <w:rFonts w:hint="eastAsia" w:cs="宋体"/>
          <w:b/>
          <w:bCs/>
          <w:color w:val="auto"/>
        </w:rPr>
        <w:t>品处置</w:t>
      </w:r>
    </w:p>
    <w:p>
      <w:pPr>
        <w:pStyle w:val="4"/>
        <w:spacing w:before="0" w:beforeAutospacing="0" w:after="0" w:afterAutospacing="0" w:line="360" w:lineRule="auto"/>
        <w:rPr>
          <w:rFonts w:cs="Times New Roman"/>
          <w:color w:val="auto"/>
          <w:sz w:val="21"/>
          <w:szCs w:val="21"/>
        </w:rPr>
      </w:pPr>
      <w:r>
        <w:rPr>
          <w:color w:val="auto"/>
          <w:sz w:val="21"/>
          <w:szCs w:val="21"/>
        </w:rPr>
        <w:t>6.3.1</w:t>
      </w:r>
      <w:r>
        <w:rPr>
          <w:rFonts w:hint="eastAsia"/>
          <w:color w:val="auto"/>
          <w:sz w:val="21"/>
          <w:szCs w:val="21"/>
        </w:rPr>
        <w:t>检验用样品及备用样品应分别封样（胶料样品要用干净塑料袋包好后封样），并在封条与样品处或样品外包装处进行骑缝签名，同时在封条上分别注明“检样”和“备样”。封样时应当有防拆封措施，以保证样品的真实性。“检样”及“备样”均寄、送至指定的检验机构。</w:t>
      </w:r>
    </w:p>
    <w:p>
      <w:pPr>
        <w:widowControl/>
        <w:spacing w:line="360" w:lineRule="auto"/>
        <w:jc w:val="left"/>
        <w:rPr>
          <w:rFonts w:ascii="宋体"/>
          <w:color w:val="auto"/>
        </w:rPr>
      </w:pPr>
      <w:r>
        <w:rPr>
          <w:rFonts w:ascii="宋体" w:hAnsi="宋体" w:cs="宋体"/>
          <w:color w:val="auto"/>
          <w:kern w:val="0"/>
        </w:rPr>
        <w:t>6.3.2</w:t>
      </w:r>
      <w:r>
        <w:rPr>
          <w:rFonts w:hint="eastAsia" w:ascii="宋体" w:hAnsi="宋体" w:cs="宋体"/>
          <w:color w:val="auto"/>
          <w:kern w:val="0"/>
        </w:rPr>
        <w:t>抽</w:t>
      </w:r>
      <w:r>
        <w:rPr>
          <w:rFonts w:hint="eastAsia" w:ascii="宋体" w:hAnsi="宋体" w:cs="宋体"/>
          <w:color w:val="auto"/>
          <w:spacing w:val="4"/>
          <w:kern w:val="4"/>
        </w:rPr>
        <w:t>取的样品在运送和保存时不应重压、受潮、雨淋、爆晒或与油及酸、碱等腐蚀物质放在</w:t>
      </w:r>
      <w:r>
        <w:rPr>
          <w:rFonts w:hint="eastAsia" w:ascii="宋体" w:hAnsi="宋体" w:cs="宋体"/>
          <w:color w:val="auto"/>
        </w:rPr>
        <w:t>一起。</w:t>
      </w:r>
    </w:p>
    <w:p>
      <w:pPr>
        <w:widowControl/>
        <w:spacing w:line="360" w:lineRule="auto"/>
        <w:jc w:val="left"/>
        <w:rPr>
          <w:rFonts w:ascii="宋体"/>
          <w:color w:val="auto"/>
        </w:rPr>
      </w:pPr>
      <w:r>
        <w:rPr>
          <w:rFonts w:ascii="宋体" w:hAnsi="宋体" w:cs="宋体"/>
          <w:color w:val="auto"/>
          <w:kern w:val="0"/>
        </w:rPr>
        <w:t>6.3.3</w:t>
      </w:r>
      <w:r>
        <w:rPr>
          <w:rFonts w:hint="eastAsia" w:ascii="宋体" w:hAnsi="宋体" w:cs="宋体"/>
          <w:color w:val="auto"/>
          <w:kern w:val="0"/>
        </w:rPr>
        <w:t>检验机构</w:t>
      </w:r>
      <w:r>
        <w:rPr>
          <w:rFonts w:hint="eastAsia" w:cs="宋体"/>
          <w:color w:val="auto"/>
        </w:rPr>
        <w:t>接收样品时，应仔细查验，以保证样品的真实性。</w:t>
      </w:r>
    </w:p>
    <w:p>
      <w:pPr>
        <w:spacing w:line="440" w:lineRule="exact"/>
        <w:rPr>
          <w:rFonts w:ascii="宋体"/>
          <w:color w:val="auto"/>
        </w:rPr>
      </w:pPr>
    </w:p>
    <w:p>
      <w:pPr>
        <w:snapToGrid w:val="0"/>
        <w:spacing w:line="360" w:lineRule="auto"/>
        <w:rPr>
          <w:rFonts w:ascii="宋体"/>
          <w:b/>
          <w:bCs/>
          <w:color w:val="auto"/>
        </w:rPr>
      </w:pPr>
      <w:r>
        <w:rPr>
          <w:rFonts w:ascii="宋体" w:hAnsi="宋体" w:cs="宋体"/>
          <w:b/>
          <w:bCs/>
          <w:color w:val="auto"/>
        </w:rPr>
        <w:t>6.4</w:t>
      </w:r>
      <w:r>
        <w:rPr>
          <w:rFonts w:hint="eastAsia" w:ascii="宋体" w:hAnsi="宋体" w:cs="宋体"/>
          <w:b/>
          <w:bCs/>
          <w:color w:val="auto"/>
        </w:rPr>
        <w:t>抽样单</w:t>
      </w:r>
    </w:p>
    <w:p>
      <w:pPr>
        <w:pStyle w:val="4"/>
        <w:spacing w:before="0" w:beforeAutospacing="0" w:after="0" w:afterAutospacing="0" w:line="360" w:lineRule="auto"/>
        <w:rPr>
          <w:rFonts w:cs="Times New Roman"/>
          <w:color w:val="auto"/>
          <w:sz w:val="21"/>
          <w:szCs w:val="21"/>
        </w:rPr>
      </w:pPr>
      <w:r>
        <w:rPr>
          <w:color w:val="auto"/>
          <w:sz w:val="21"/>
          <w:szCs w:val="21"/>
        </w:rPr>
        <w:t>6.4.1</w:t>
      </w:r>
      <w:r>
        <w:rPr>
          <w:rFonts w:hint="eastAsia"/>
          <w:color w:val="auto"/>
          <w:sz w:val="21"/>
          <w:szCs w:val="21"/>
        </w:rPr>
        <w:t>生产领域</w:t>
      </w:r>
    </w:p>
    <w:p>
      <w:pPr>
        <w:pStyle w:val="4"/>
        <w:spacing w:before="0" w:beforeAutospacing="0" w:after="0" w:afterAutospacing="0" w:line="360" w:lineRule="auto"/>
        <w:ind w:firstLine="420" w:firstLineChars="200"/>
        <w:rPr>
          <w:rFonts w:cs="Times New Roman"/>
          <w:color w:val="auto"/>
          <w:sz w:val="21"/>
          <w:szCs w:val="21"/>
        </w:rPr>
      </w:pPr>
      <w:r>
        <w:rPr>
          <w:rFonts w:hint="eastAsia"/>
          <w:color w:val="auto"/>
          <w:sz w:val="21"/>
          <w:szCs w:val="21"/>
        </w:rPr>
        <w:t>样品及抽样单内容经受检单位代表确认无误后，由抽样人员与受检单位分别在抽样单上签字、盖章，当场封存样品，加贴封条，封条上应有抽样人员及受检单位经手人签名、抽样单位盖章、抽样日期及抽样编号。抽样单还应记录被抽查产品及企业相关信息，同时记录被抽查企业上一年度生产的相关产品销售总额，以万元计；若企业上一年度未生产，则记录本年度实际销售额，并加以注明。</w:t>
      </w:r>
    </w:p>
    <w:p>
      <w:pPr>
        <w:pStyle w:val="4"/>
        <w:spacing w:before="0" w:beforeAutospacing="0" w:after="0" w:afterAutospacing="0" w:line="360" w:lineRule="auto"/>
        <w:ind w:firstLine="420" w:firstLineChars="200"/>
        <w:rPr>
          <w:rFonts w:cs="Times New Roman"/>
          <w:color w:val="auto"/>
          <w:sz w:val="21"/>
          <w:szCs w:val="21"/>
        </w:rPr>
      </w:pPr>
      <w:r>
        <w:rPr>
          <w:rFonts w:hint="eastAsia"/>
          <w:color w:val="auto"/>
          <w:sz w:val="21"/>
          <w:szCs w:val="21"/>
        </w:rPr>
        <w:t>注：记录的“产品营业收入”中的产品是指计划抽查的产品，如计划抽查“输送带”，应记录被抽查企业的所有输送带产品营业收入。</w:t>
      </w:r>
    </w:p>
    <w:p>
      <w:pPr>
        <w:pStyle w:val="4"/>
        <w:spacing w:before="0" w:beforeAutospacing="0" w:after="0" w:afterAutospacing="0" w:line="360" w:lineRule="auto"/>
        <w:rPr>
          <w:rFonts w:cs="Times New Roman"/>
          <w:color w:val="auto"/>
          <w:sz w:val="21"/>
          <w:szCs w:val="21"/>
        </w:rPr>
      </w:pPr>
      <w:r>
        <w:rPr>
          <w:color w:val="auto"/>
          <w:sz w:val="21"/>
          <w:szCs w:val="21"/>
        </w:rPr>
        <w:t>6.4.2</w:t>
      </w:r>
      <w:r>
        <w:rPr>
          <w:rFonts w:hint="eastAsia"/>
          <w:color w:val="auto"/>
          <w:sz w:val="21"/>
          <w:szCs w:val="21"/>
        </w:rPr>
        <w:t>流通领域（实体店）</w:t>
      </w:r>
    </w:p>
    <w:p>
      <w:pPr>
        <w:pStyle w:val="4"/>
        <w:spacing w:before="0" w:beforeAutospacing="0" w:after="0" w:afterAutospacing="0" w:line="360" w:lineRule="auto"/>
        <w:ind w:firstLine="420" w:firstLineChars="200"/>
        <w:rPr>
          <w:rFonts w:cs="Times New Roman"/>
          <w:color w:val="auto"/>
          <w:sz w:val="21"/>
          <w:szCs w:val="21"/>
        </w:rPr>
      </w:pPr>
      <w:r>
        <w:rPr>
          <w:rFonts w:hint="eastAsia"/>
          <w:color w:val="auto"/>
          <w:sz w:val="21"/>
          <w:szCs w:val="21"/>
        </w:rPr>
        <w:t>应按有关规定填写抽样单，并记录被抽查商品及受检单位相关信息。同时记录被抽查商品的进货量和库存量，以对应商品的单位计；记录被抽查商品的销售单价，以元计。对于商品检验所需的样品技术参数包括被抽查商品的依据标准等信息，需要受检单位提供的，应在抽样现场获取，并经受检单位确认。</w:t>
      </w:r>
    </w:p>
    <w:p>
      <w:pPr>
        <w:pStyle w:val="4"/>
        <w:spacing w:before="0" w:beforeAutospacing="0" w:after="0" w:afterAutospacing="0" w:line="360" w:lineRule="auto"/>
        <w:rPr>
          <w:rFonts w:cs="Times New Roman"/>
          <w:color w:val="auto"/>
          <w:sz w:val="21"/>
          <w:szCs w:val="21"/>
        </w:rPr>
      </w:pPr>
      <w:r>
        <w:rPr>
          <w:color w:val="auto"/>
          <w:sz w:val="21"/>
          <w:szCs w:val="21"/>
        </w:rPr>
        <w:t>6.4.3</w:t>
      </w:r>
      <w:r>
        <w:rPr>
          <w:rFonts w:hint="eastAsia"/>
          <w:color w:val="auto"/>
          <w:sz w:val="21"/>
          <w:szCs w:val="21"/>
        </w:rPr>
        <w:t>流通领域（网络交易平台）</w:t>
      </w:r>
    </w:p>
    <w:p>
      <w:pPr>
        <w:snapToGrid w:val="0"/>
        <w:spacing w:line="360" w:lineRule="auto"/>
        <w:rPr>
          <w:rFonts w:ascii="宋体"/>
          <w:color w:val="auto"/>
        </w:rPr>
      </w:pPr>
      <w:r>
        <w:rPr>
          <w:color w:val="auto"/>
        </w:rPr>
        <w:t>6.4.3</w:t>
      </w:r>
      <w:r>
        <w:rPr>
          <w:rFonts w:ascii="宋体" w:hAnsi="宋体" w:cs="宋体"/>
          <w:color w:val="auto"/>
        </w:rPr>
        <w:t>.1</w:t>
      </w:r>
      <w:r>
        <w:rPr>
          <w:rFonts w:hint="eastAsia" w:ascii="宋体" w:hAnsi="宋体" w:cs="宋体"/>
          <w:color w:val="auto"/>
        </w:rPr>
        <w:t>对电子商务经营者销售的本行政区域内的生产者生产的产品和本行政区域内的电子商务经营者销售的产品进行抽样时，可以以消费者的名义买样。</w:t>
      </w:r>
    </w:p>
    <w:p>
      <w:pPr>
        <w:snapToGrid w:val="0"/>
        <w:spacing w:line="360" w:lineRule="auto"/>
        <w:rPr>
          <w:rFonts w:ascii="宋体"/>
          <w:color w:val="auto"/>
        </w:rPr>
      </w:pPr>
      <w:r>
        <w:rPr>
          <w:color w:val="auto"/>
        </w:rPr>
        <w:t>6.4.3</w:t>
      </w:r>
      <w:r>
        <w:rPr>
          <w:rFonts w:ascii="宋体" w:hAnsi="宋体" w:cs="宋体"/>
          <w:color w:val="auto"/>
        </w:rPr>
        <w:t>.2</w:t>
      </w:r>
      <w:r>
        <w:rPr>
          <w:rFonts w:hint="eastAsia" w:ascii="宋体" w:hAnsi="宋体" w:cs="宋体"/>
          <w:color w:val="auto"/>
        </w:rPr>
        <w:t>进行网络抽样的，应当记录抽样人员以及付款账户、注册账号、收货地址、联系方式等信息。抽样人员应当通过截图、拍照或者录像的方式记录被抽样销售者信息、样品网页展示信息，以及订单信息、支付记录等。</w:t>
      </w:r>
    </w:p>
    <w:p>
      <w:pPr>
        <w:snapToGrid w:val="0"/>
        <w:spacing w:line="360" w:lineRule="auto"/>
        <w:rPr>
          <w:rFonts w:ascii="宋体"/>
          <w:color w:val="auto"/>
        </w:rPr>
      </w:pPr>
      <w:r>
        <w:rPr>
          <w:color w:val="auto"/>
        </w:rPr>
        <w:t>6.4.3</w:t>
      </w:r>
      <w:r>
        <w:rPr>
          <w:rFonts w:ascii="宋体" w:hAnsi="宋体" w:cs="宋体"/>
          <w:color w:val="auto"/>
        </w:rPr>
        <w:t xml:space="preserve">.3 </w:t>
      </w:r>
      <w:r>
        <w:rPr>
          <w:rFonts w:hint="eastAsia" w:ascii="宋体" w:hAnsi="宋体" w:cs="宋体"/>
          <w:color w:val="auto"/>
        </w:rPr>
        <w:t>抽样人员购买的样品应当包括检验样品和备用样品。</w:t>
      </w:r>
    </w:p>
    <w:p>
      <w:pPr>
        <w:snapToGrid w:val="0"/>
        <w:spacing w:line="360" w:lineRule="auto"/>
        <w:rPr>
          <w:rFonts w:ascii="宋体"/>
          <w:color w:val="auto"/>
        </w:rPr>
      </w:pPr>
      <w:r>
        <w:rPr>
          <w:color w:val="auto"/>
        </w:rPr>
        <w:t>6.4.3</w:t>
      </w:r>
      <w:r>
        <w:rPr>
          <w:rFonts w:ascii="宋体" w:hAnsi="宋体" w:cs="宋体"/>
          <w:color w:val="auto"/>
        </w:rPr>
        <w:t xml:space="preserve">.4 </w:t>
      </w:r>
      <w:r>
        <w:rPr>
          <w:rFonts w:hint="eastAsia" w:ascii="宋体" w:hAnsi="宋体" w:cs="宋体"/>
          <w:color w:val="auto"/>
        </w:rPr>
        <w:t>抽样人员收到样品后，应当通过拍照或者录像的方式记录拆封过程，对寄递包装、样品包装、样品标识、样品寄递情形等进行查验，对检验样品和备用样品分别封样，并将检验样品和备用样品携带或者寄递至检验机构进行检验。</w:t>
      </w:r>
    </w:p>
    <w:p>
      <w:pPr>
        <w:snapToGrid w:val="0"/>
        <w:spacing w:line="360" w:lineRule="auto"/>
        <w:ind w:firstLine="403" w:firstLineChars="192"/>
        <w:rPr>
          <w:rFonts w:ascii="宋体"/>
          <w:color w:val="auto"/>
        </w:rPr>
      </w:pPr>
      <w:r>
        <w:rPr>
          <w:rFonts w:hint="eastAsia" w:cs="宋体"/>
          <w:color w:val="auto"/>
        </w:rPr>
        <w:t>抽样人员应当根据样品情况填写抽样单。抽样单经抽样人员签字并加盖抽样单位公章后，与监督抽查通知书一并寄送被抽样销售者。抽样机构执行买样任务的，还应当寄送组织监督抽查的市场监督管理部门出具的授权委托书复印件。</w:t>
      </w:r>
    </w:p>
    <w:p>
      <w:pPr>
        <w:snapToGrid w:val="0"/>
        <w:spacing w:line="440" w:lineRule="exact"/>
        <w:rPr>
          <w:rFonts w:ascii="宋体"/>
          <w:b/>
          <w:bCs/>
          <w:color w:val="auto"/>
        </w:rPr>
      </w:pPr>
      <w:r>
        <w:rPr>
          <w:rFonts w:ascii="宋体" w:hAnsi="宋体" w:cs="宋体"/>
          <w:b/>
          <w:bCs/>
          <w:color w:val="auto"/>
        </w:rPr>
        <w:t>7</w:t>
      </w:r>
      <w:r>
        <w:rPr>
          <w:rFonts w:hint="eastAsia" w:ascii="宋体" w:hAnsi="宋体" w:cs="宋体"/>
          <w:b/>
          <w:bCs/>
          <w:color w:val="auto"/>
        </w:rPr>
        <w:t>检验要求</w:t>
      </w:r>
    </w:p>
    <w:p>
      <w:pPr>
        <w:snapToGrid w:val="0"/>
        <w:spacing w:line="440" w:lineRule="exact"/>
        <w:rPr>
          <w:rFonts w:ascii="宋体"/>
          <w:color w:val="auto"/>
        </w:rPr>
      </w:pPr>
      <w:r>
        <w:rPr>
          <w:rFonts w:ascii="宋体" w:hAnsi="宋体" w:cs="宋体"/>
          <w:color w:val="auto"/>
        </w:rPr>
        <w:t xml:space="preserve">7.1 </w:t>
      </w:r>
      <w:r>
        <w:rPr>
          <w:rFonts w:hint="eastAsia" w:ascii="宋体" w:hAnsi="宋体" w:cs="宋体"/>
          <w:color w:val="auto"/>
        </w:rPr>
        <w:t>检验项目</w:t>
      </w:r>
    </w:p>
    <w:p>
      <w:pPr>
        <w:tabs>
          <w:tab w:val="left" w:pos="1320"/>
        </w:tabs>
        <w:snapToGrid w:val="0"/>
        <w:spacing w:line="440" w:lineRule="exact"/>
        <w:ind w:firstLine="420" w:firstLineChars="200"/>
        <w:rPr>
          <w:rFonts w:ascii="宋体"/>
          <w:color w:val="auto"/>
        </w:rPr>
      </w:pPr>
      <w:r>
        <w:rPr>
          <w:rFonts w:hint="eastAsia" w:ascii="宋体" w:hAnsi="宋体" w:cs="宋体"/>
          <w:color w:val="auto"/>
        </w:rPr>
        <w:t>检验项目及判定数组见表</w:t>
      </w:r>
      <w:r>
        <w:rPr>
          <w:rFonts w:ascii="宋体" w:hAnsi="宋体" w:cs="宋体"/>
          <w:color w:val="auto"/>
        </w:rPr>
        <w:t>3</w:t>
      </w:r>
      <w:r>
        <w:rPr>
          <w:rFonts w:hint="eastAsia" w:ascii="宋体" w:hAnsi="宋体" w:cs="宋体"/>
          <w:color w:val="auto"/>
        </w:rPr>
        <w:t>。</w:t>
      </w:r>
    </w:p>
    <w:p>
      <w:pPr>
        <w:tabs>
          <w:tab w:val="left" w:pos="1320"/>
        </w:tabs>
        <w:snapToGrid w:val="0"/>
        <w:spacing w:line="440" w:lineRule="exact"/>
        <w:jc w:val="center"/>
        <w:rPr>
          <w:rFonts w:ascii="宋体"/>
          <w:color w:val="auto"/>
        </w:rPr>
      </w:pPr>
      <w:r>
        <w:rPr>
          <w:rFonts w:hint="eastAsia" w:ascii="宋体" w:hAnsi="宋体" w:cs="宋体"/>
          <w:color w:val="auto"/>
        </w:rPr>
        <w:t>表</w:t>
      </w:r>
      <w:r>
        <w:rPr>
          <w:rFonts w:ascii="宋体" w:hAnsi="宋体" w:cs="宋体"/>
          <w:color w:val="auto"/>
        </w:rPr>
        <w:t xml:space="preserve">3 </w:t>
      </w:r>
      <w:r>
        <w:rPr>
          <w:rFonts w:hint="eastAsia" w:ascii="宋体" w:hAnsi="宋体" w:cs="宋体"/>
          <w:color w:val="auto"/>
        </w:rPr>
        <w:t>检验项目及重要程度分类</w:t>
      </w:r>
    </w:p>
    <w:tbl>
      <w:tblPr>
        <w:tblStyle w:val="5"/>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9"/>
        <w:gridCol w:w="755"/>
        <w:gridCol w:w="2241"/>
        <w:gridCol w:w="2449"/>
        <w:gridCol w:w="17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jc w:val="center"/>
        </w:trPr>
        <w:tc>
          <w:tcPr>
            <w:tcW w:w="1369" w:type="dxa"/>
            <w:vMerge w:val="restart"/>
            <w:vAlign w:val="center"/>
          </w:tcPr>
          <w:p>
            <w:pPr>
              <w:widowControl/>
              <w:jc w:val="center"/>
              <w:rPr>
                <w:rFonts w:ascii="宋体"/>
                <w:color w:val="auto"/>
                <w:kern w:val="0"/>
              </w:rPr>
            </w:pPr>
            <w:r>
              <w:rPr>
                <w:rFonts w:hint="eastAsia" w:ascii="宋体" w:hAnsi="宋体" w:cs="宋体"/>
                <w:color w:val="auto"/>
                <w:kern w:val="0"/>
              </w:rPr>
              <w:t>产品</w:t>
            </w:r>
          </w:p>
          <w:p>
            <w:pPr>
              <w:widowControl/>
              <w:jc w:val="center"/>
              <w:rPr>
                <w:rFonts w:ascii="宋体"/>
                <w:color w:val="auto"/>
                <w:kern w:val="0"/>
              </w:rPr>
            </w:pPr>
            <w:r>
              <w:rPr>
                <w:rFonts w:hint="eastAsia" w:ascii="宋体" w:hAnsi="宋体" w:cs="宋体"/>
                <w:color w:val="auto"/>
                <w:kern w:val="0"/>
              </w:rPr>
              <w:t>名称</w:t>
            </w:r>
          </w:p>
        </w:tc>
        <w:tc>
          <w:tcPr>
            <w:tcW w:w="2996" w:type="dxa"/>
            <w:gridSpan w:val="2"/>
            <w:vAlign w:val="center"/>
          </w:tcPr>
          <w:p>
            <w:pPr>
              <w:widowControl/>
              <w:jc w:val="center"/>
              <w:rPr>
                <w:rFonts w:ascii="宋体"/>
                <w:color w:val="auto"/>
                <w:kern w:val="0"/>
              </w:rPr>
            </w:pPr>
            <w:r>
              <w:rPr>
                <w:rFonts w:hint="eastAsia" w:ascii="宋体" w:hAnsi="宋体" w:cs="宋体"/>
                <w:color w:val="auto"/>
                <w:kern w:val="0"/>
              </w:rPr>
              <w:t>检验项目</w:t>
            </w:r>
          </w:p>
        </w:tc>
        <w:tc>
          <w:tcPr>
            <w:tcW w:w="2449" w:type="dxa"/>
            <w:vMerge w:val="restart"/>
            <w:vAlign w:val="center"/>
          </w:tcPr>
          <w:p>
            <w:pPr>
              <w:widowControl/>
              <w:jc w:val="center"/>
              <w:rPr>
                <w:rFonts w:ascii="宋体"/>
                <w:color w:val="auto"/>
              </w:rPr>
            </w:pPr>
            <w:r>
              <w:rPr>
                <w:rFonts w:hint="eastAsia" w:ascii="宋体" w:hAnsi="宋体" w:cs="宋体"/>
                <w:color w:val="auto"/>
              </w:rPr>
              <w:t>依据标准条款</w:t>
            </w:r>
          </w:p>
        </w:tc>
        <w:tc>
          <w:tcPr>
            <w:tcW w:w="1708" w:type="dxa"/>
            <w:vMerge w:val="restart"/>
            <w:vAlign w:val="center"/>
          </w:tcPr>
          <w:p>
            <w:pPr>
              <w:widowControl/>
              <w:jc w:val="center"/>
              <w:rPr>
                <w:rFonts w:ascii="宋体"/>
                <w:color w:val="auto"/>
                <w:kern w:val="0"/>
              </w:rPr>
            </w:pPr>
            <w:r>
              <w:rPr>
                <w:rFonts w:hint="eastAsia" w:ascii="宋体" w:hAnsi="宋体" w:cs="宋体"/>
                <w:color w:val="auto"/>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jc w:val="center"/>
        </w:trPr>
        <w:tc>
          <w:tcPr>
            <w:tcW w:w="1369" w:type="dxa"/>
            <w:vMerge w:val="continue"/>
            <w:vAlign w:val="center"/>
          </w:tcPr>
          <w:p>
            <w:pPr>
              <w:widowControl/>
              <w:jc w:val="center"/>
              <w:rPr>
                <w:rFonts w:ascii="宋体"/>
                <w:color w:val="auto"/>
                <w:kern w:val="0"/>
              </w:rPr>
            </w:pPr>
          </w:p>
        </w:tc>
        <w:tc>
          <w:tcPr>
            <w:tcW w:w="755" w:type="dxa"/>
            <w:vAlign w:val="center"/>
          </w:tcPr>
          <w:p>
            <w:pPr>
              <w:widowControl/>
              <w:jc w:val="center"/>
              <w:rPr>
                <w:rFonts w:ascii="宋体"/>
                <w:color w:val="auto"/>
                <w:spacing w:val="-20"/>
                <w:kern w:val="0"/>
              </w:rPr>
            </w:pPr>
            <w:r>
              <w:rPr>
                <w:rFonts w:hint="eastAsia" w:ascii="宋体" w:hAnsi="宋体" w:cs="宋体"/>
                <w:color w:val="auto"/>
                <w:spacing w:val="-20"/>
                <w:kern w:val="0"/>
              </w:rPr>
              <w:t>序号</w:t>
            </w:r>
          </w:p>
        </w:tc>
        <w:tc>
          <w:tcPr>
            <w:tcW w:w="2241" w:type="dxa"/>
            <w:vAlign w:val="center"/>
          </w:tcPr>
          <w:p>
            <w:pPr>
              <w:widowControl/>
              <w:jc w:val="center"/>
              <w:rPr>
                <w:rFonts w:ascii="宋体"/>
                <w:color w:val="auto"/>
                <w:kern w:val="0"/>
              </w:rPr>
            </w:pPr>
            <w:r>
              <w:rPr>
                <w:rFonts w:hint="eastAsia" w:ascii="宋体" w:hAnsi="宋体" w:cs="宋体"/>
                <w:color w:val="auto"/>
                <w:kern w:val="0"/>
              </w:rPr>
              <w:t>名称</w:t>
            </w:r>
          </w:p>
        </w:tc>
        <w:tc>
          <w:tcPr>
            <w:tcW w:w="2449" w:type="dxa"/>
            <w:vMerge w:val="continue"/>
            <w:vAlign w:val="center"/>
          </w:tcPr>
          <w:p>
            <w:pPr>
              <w:widowControl/>
              <w:jc w:val="center"/>
              <w:rPr>
                <w:rFonts w:ascii="宋体"/>
                <w:color w:val="auto"/>
              </w:rPr>
            </w:pPr>
          </w:p>
        </w:tc>
        <w:tc>
          <w:tcPr>
            <w:tcW w:w="1708" w:type="dxa"/>
            <w:vMerge w:val="continue"/>
            <w:vAlign w:val="center"/>
          </w:tcPr>
          <w:p>
            <w:pPr>
              <w:widowControl/>
              <w:jc w:val="center"/>
              <w:rPr>
                <w:rFonts w:ascii="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369" w:type="dxa"/>
            <w:vMerge w:val="restart"/>
            <w:vAlign w:val="center"/>
          </w:tcPr>
          <w:p>
            <w:pPr>
              <w:jc w:val="center"/>
              <w:rPr>
                <w:rFonts w:ascii="宋体"/>
                <w:color w:val="auto"/>
                <w:kern w:val="0"/>
              </w:rPr>
            </w:pPr>
            <w:r>
              <w:rPr>
                <w:rFonts w:hint="eastAsia" w:ascii="宋体" w:hAnsi="宋体" w:cs="宋体"/>
                <w:color w:val="auto"/>
                <w:kern w:val="0"/>
              </w:rPr>
              <w:t>耐热输送带</w:t>
            </w:r>
          </w:p>
        </w:tc>
        <w:tc>
          <w:tcPr>
            <w:tcW w:w="755" w:type="dxa"/>
            <w:vAlign w:val="center"/>
          </w:tcPr>
          <w:p>
            <w:pPr>
              <w:widowControl/>
              <w:jc w:val="center"/>
              <w:rPr>
                <w:rFonts w:ascii="宋体"/>
                <w:color w:val="auto"/>
                <w:kern w:val="0"/>
              </w:rPr>
            </w:pPr>
            <w:r>
              <w:rPr>
                <w:rFonts w:ascii="宋体" w:hAnsi="宋体" w:cs="宋体"/>
                <w:color w:val="auto"/>
                <w:kern w:val="0"/>
              </w:rPr>
              <w:t>1</w:t>
            </w:r>
          </w:p>
        </w:tc>
        <w:tc>
          <w:tcPr>
            <w:tcW w:w="2241" w:type="dxa"/>
            <w:vAlign w:val="center"/>
          </w:tcPr>
          <w:p>
            <w:pPr>
              <w:tabs>
                <w:tab w:val="left" w:pos="1320"/>
              </w:tabs>
              <w:snapToGrid w:val="0"/>
              <w:spacing w:line="440" w:lineRule="exact"/>
              <w:jc w:val="center"/>
              <w:rPr>
                <w:rFonts w:ascii="宋体"/>
                <w:color w:val="auto"/>
              </w:rPr>
            </w:pPr>
            <w:r>
              <w:rPr>
                <w:rFonts w:hint="eastAsia" w:ascii="宋体" w:hAnsi="宋体" w:cs="宋体"/>
                <w:color w:val="auto"/>
                <w:kern w:val="0"/>
              </w:rPr>
              <w:t>硬度</w:t>
            </w:r>
          </w:p>
        </w:tc>
        <w:tc>
          <w:tcPr>
            <w:tcW w:w="2449" w:type="dxa"/>
            <w:vAlign w:val="center"/>
          </w:tcPr>
          <w:p>
            <w:pPr>
              <w:widowControl/>
              <w:jc w:val="center"/>
              <w:rPr>
                <w:rFonts w:ascii="宋体"/>
                <w:color w:val="auto"/>
                <w:kern w:val="0"/>
              </w:rPr>
            </w:pPr>
            <w:r>
              <w:rPr>
                <w:rFonts w:ascii="宋体" w:hAnsi="宋体" w:cs="宋体"/>
                <w:color w:val="auto"/>
                <w:kern w:val="0"/>
              </w:rPr>
              <w:t>HG 2297-1992</w:t>
            </w:r>
          </w:p>
        </w:tc>
        <w:tc>
          <w:tcPr>
            <w:tcW w:w="1708" w:type="dxa"/>
            <w:vAlign w:val="center"/>
          </w:tcPr>
          <w:p>
            <w:pPr>
              <w:widowControl/>
              <w:jc w:val="center"/>
              <w:rPr>
                <w:rFonts w:ascii="宋体"/>
                <w:color w:val="auto"/>
                <w:kern w:val="0"/>
              </w:rPr>
            </w:pPr>
            <w:r>
              <w:rPr>
                <w:rFonts w:ascii="宋体" w:hAnsi="宋体" w:cs="宋体"/>
                <w:color w:val="auto"/>
                <w:kern w:val="0"/>
              </w:rPr>
              <w:t>GB/T 6031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369" w:type="dxa"/>
            <w:vMerge w:val="continue"/>
            <w:vAlign w:val="center"/>
          </w:tcPr>
          <w:p>
            <w:pPr>
              <w:jc w:val="center"/>
              <w:rPr>
                <w:rFonts w:ascii="宋体"/>
                <w:color w:val="auto"/>
                <w:kern w:val="0"/>
              </w:rPr>
            </w:pPr>
          </w:p>
        </w:tc>
        <w:tc>
          <w:tcPr>
            <w:tcW w:w="755" w:type="dxa"/>
            <w:vAlign w:val="center"/>
          </w:tcPr>
          <w:p>
            <w:pPr>
              <w:widowControl/>
              <w:jc w:val="center"/>
              <w:rPr>
                <w:rFonts w:ascii="宋体"/>
                <w:color w:val="auto"/>
                <w:kern w:val="0"/>
              </w:rPr>
            </w:pPr>
            <w:r>
              <w:rPr>
                <w:rFonts w:ascii="宋体" w:hAnsi="宋体" w:cs="宋体"/>
                <w:color w:val="auto"/>
                <w:kern w:val="0"/>
              </w:rPr>
              <w:t>2</w:t>
            </w:r>
          </w:p>
        </w:tc>
        <w:tc>
          <w:tcPr>
            <w:tcW w:w="2241" w:type="dxa"/>
            <w:vAlign w:val="center"/>
          </w:tcPr>
          <w:p>
            <w:pPr>
              <w:tabs>
                <w:tab w:val="left" w:pos="1320"/>
              </w:tabs>
              <w:snapToGrid w:val="0"/>
              <w:spacing w:line="440" w:lineRule="exact"/>
              <w:jc w:val="center"/>
              <w:rPr>
                <w:rFonts w:ascii="宋体"/>
                <w:color w:val="auto"/>
              </w:rPr>
            </w:pPr>
            <w:r>
              <w:rPr>
                <w:rFonts w:hint="eastAsia" w:ascii="宋体" w:hAnsi="宋体" w:cs="宋体"/>
                <w:color w:val="auto"/>
                <w:kern w:val="0"/>
              </w:rPr>
              <w:t>拉伸强度</w:t>
            </w:r>
          </w:p>
        </w:tc>
        <w:tc>
          <w:tcPr>
            <w:tcW w:w="2449" w:type="dxa"/>
            <w:vAlign w:val="center"/>
          </w:tcPr>
          <w:p>
            <w:pPr>
              <w:widowControl/>
              <w:jc w:val="center"/>
              <w:rPr>
                <w:rFonts w:ascii="宋体"/>
                <w:color w:val="auto"/>
                <w:kern w:val="0"/>
              </w:rPr>
            </w:pPr>
            <w:r>
              <w:rPr>
                <w:rFonts w:ascii="宋体" w:hAnsi="宋体" w:cs="宋体"/>
                <w:color w:val="auto"/>
                <w:kern w:val="0"/>
              </w:rPr>
              <w:t>HG 2297-1992</w:t>
            </w:r>
          </w:p>
        </w:tc>
        <w:tc>
          <w:tcPr>
            <w:tcW w:w="1708" w:type="dxa"/>
            <w:vAlign w:val="center"/>
          </w:tcPr>
          <w:p>
            <w:pPr>
              <w:widowControl/>
              <w:jc w:val="center"/>
              <w:rPr>
                <w:rFonts w:ascii="宋体"/>
                <w:color w:val="auto"/>
                <w:kern w:val="0"/>
              </w:rPr>
            </w:pPr>
            <w:r>
              <w:rPr>
                <w:rFonts w:ascii="宋体" w:hAnsi="宋体" w:cs="宋体"/>
                <w:color w:val="auto"/>
                <w:kern w:val="0"/>
              </w:rPr>
              <w:t>GB/T 528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369" w:type="dxa"/>
            <w:vMerge w:val="continue"/>
            <w:vAlign w:val="center"/>
          </w:tcPr>
          <w:p>
            <w:pPr>
              <w:widowControl/>
              <w:jc w:val="center"/>
              <w:rPr>
                <w:rFonts w:ascii="宋体"/>
                <w:color w:val="auto"/>
                <w:kern w:val="0"/>
              </w:rPr>
            </w:pPr>
          </w:p>
        </w:tc>
        <w:tc>
          <w:tcPr>
            <w:tcW w:w="755" w:type="dxa"/>
            <w:vAlign w:val="center"/>
          </w:tcPr>
          <w:p>
            <w:pPr>
              <w:widowControl/>
              <w:jc w:val="center"/>
              <w:rPr>
                <w:rFonts w:ascii="宋体"/>
                <w:color w:val="auto"/>
                <w:kern w:val="0"/>
              </w:rPr>
            </w:pPr>
            <w:r>
              <w:rPr>
                <w:rFonts w:ascii="宋体" w:hAnsi="宋体" w:cs="宋体"/>
                <w:color w:val="auto"/>
                <w:kern w:val="0"/>
              </w:rPr>
              <w:t>3</w:t>
            </w:r>
          </w:p>
        </w:tc>
        <w:tc>
          <w:tcPr>
            <w:tcW w:w="2241" w:type="dxa"/>
            <w:vAlign w:val="center"/>
          </w:tcPr>
          <w:p>
            <w:pPr>
              <w:tabs>
                <w:tab w:val="left" w:pos="1320"/>
              </w:tabs>
              <w:snapToGrid w:val="0"/>
              <w:spacing w:line="440" w:lineRule="exact"/>
              <w:jc w:val="center"/>
              <w:rPr>
                <w:rFonts w:ascii="宋体"/>
                <w:color w:val="auto"/>
              </w:rPr>
            </w:pPr>
            <w:r>
              <w:rPr>
                <w:rFonts w:hint="eastAsia" w:ascii="宋体" w:hAnsi="宋体" w:cs="宋体"/>
                <w:color w:val="auto"/>
                <w:kern w:val="0"/>
              </w:rPr>
              <w:t>拉断伸长率</w:t>
            </w:r>
          </w:p>
        </w:tc>
        <w:tc>
          <w:tcPr>
            <w:tcW w:w="2449" w:type="dxa"/>
            <w:vAlign w:val="center"/>
          </w:tcPr>
          <w:p>
            <w:pPr>
              <w:widowControl/>
              <w:jc w:val="center"/>
              <w:rPr>
                <w:rFonts w:ascii="宋体"/>
                <w:color w:val="auto"/>
                <w:kern w:val="0"/>
              </w:rPr>
            </w:pPr>
            <w:r>
              <w:rPr>
                <w:rFonts w:ascii="宋体" w:hAnsi="宋体" w:cs="宋体"/>
                <w:color w:val="auto"/>
                <w:kern w:val="0"/>
              </w:rPr>
              <w:t>HG 2297-1992</w:t>
            </w:r>
          </w:p>
        </w:tc>
        <w:tc>
          <w:tcPr>
            <w:tcW w:w="1708" w:type="dxa"/>
            <w:vAlign w:val="center"/>
          </w:tcPr>
          <w:p>
            <w:pPr>
              <w:widowControl/>
              <w:jc w:val="center"/>
              <w:rPr>
                <w:rFonts w:ascii="宋体"/>
                <w:color w:val="auto"/>
                <w:kern w:val="0"/>
              </w:rPr>
            </w:pPr>
            <w:r>
              <w:rPr>
                <w:rFonts w:ascii="宋体" w:hAnsi="宋体" w:cs="宋体"/>
                <w:color w:val="auto"/>
                <w:kern w:val="0"/>
              </w:rPr>
              <w:t>GB/T 528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369" w:type="dxa"/>
            <w:vMerge w:val="continue"/>
            <w:vAlign w:val="center"/>
          </w:tcPr>
          <w:p>
            <w:pPr>
              <w:widowControl/>
              <w:jc w:val="center"/>
              <w:rPr>
                <w:rFonts w:ascii="宋体"/>
                <w:color w:val="auto"/>
                <w:kern w:val="0"/>
              </w:rPr>
            </w:pPr>
          </w:p>
        </w:tc>
        <w:tc>
          <w:tcPr>
            <w:tcW w:w="755" w:type="dxa"/>
            <w:vAlign w:val="center"/>
          </w:tcPr>
          <w:p>
            <w:pPr>
              <w:widowControl/>
              <w:jc w:val="center"/>
              <w:rPr>
                <w:rFonts w:ascii="宋体"/>
                <w:color w:val="auto"/>
                <w:kern w:val="0"/>
              </w:rPr>
            </w:pPr>
            <w:r>
              <w:rPr>
                <w:rFonts w:ascii="宋体" w:hAnsi="宋体" w:cs="宋体"/>
                <w:color w:val="auto"/>
                <w:kern w:val="0"/>
              </w:rPr>
              <w:t>4</w:t>
            </w:r>
          </w:p>
        </w:tc>
        <w:tc>
          <w:tcPr>
            <w:tcW w:w="2241" w:type="dxa"/>
            <w:vAlign w:val="center"/>
          </w:tcPr>
          <w:p>
            <w:pPr>
              <w:tabs>
                <w:tab w:val="left" w:pos="1320"/>
              </w:tabs>
              <w:snapToGrid w:val="0"/>
              <w:spacing w:line="440" w:lineRule="exact"/>
              <w:jc w:val="center"/>
              <w:rPr>
                <w:rFonts w:ascii="宋体"/>
                <w:color w:val="auto"/>
              </w:rPr>
            </w:pPr>
            <w:r>
              <w:rPr>
                <w:rFonts w:hint="eastAsia" w:ascii="宋体" w:hAnsi="宋体" w:cs="宋体"/>
                <w:color w:val="auto"/>
                <w:kern w:val="0"/>
              </w:rPr>
              <w:t>层间黏合强度</w:t>
            </w:r>
          </w:p>
        </w:tc>
        <w:tc>
          <w:tcPr>
            <w:tcW w:w="2449" w:type="dxa"/>
            <w:vAlign w:val="center"/>
          </w:tcPr>
          <w:p>
            <w:pPr>
              <w:widowControl/>
              <w:jc w:val="center"/>
              <w:rPr>
                <w:rFonts w:ascii="宋体"/>
                <w:color w:val="auto"/>
                <w:kern w:val="0"/>
              </w:rPr>
            </w:pPr>
            <w:r>
              <w:rPr>
                <w:rFonts w:ascii="宋体" w:hAnsi="宋体" w:cs="宋体"/>
                <w:color w:val="auto"/>
                <w:kern w:val="0"/>
              </w:rPr>
              <w:t>HG 2297-1992</w:t>
            </w:r>
          </w:p>
        </w:tc>
        <w:tc>
          <w:tcPr>
            <w:tcW w:w="1708" w:type="dxa"/>
            <w:vAlign w:val="center"/>
          </w:tcPr>
          <w:p>
            <w:pPr>
              <w:widowControl/>
              <w:jc w:val="center"/>
              <w:rPr>
                <w:rFonts w:ascii="宋体"/>
                <w:color w:val="auto"/>
                <w:kern w:val="0"/>
              </w:rPr>
            </w:pPr>
            <w:r>
              <w:rPr>
                <w:rFonts w:ascii="宋体" w:hAnsi="宋体" w:cs="宋体"/>
                <w:color w:val="auto"/>
                <w:kern w:val="0"/>
              </w:rPr>
              <w:t>GB/T 6759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369" w:type="dxa"/>
            <w:vMerge w:val="continue"/>
            <w:vAlign w:val="center"/>
          </w:tcPr>
          <w:p>
            <w:pPr>
              <w:widowControl/>
              <w:jc w:val="center"/>
              <w:rPr>
                <w:rFonts w:ascii="宋体"/>
                <w:color w:val="auto"/>
                <w:kern w:val="0"/>
              </w:rPr>
            </w:pPr>
          </w:p>
        </w:tc>
        <w:tc>
          <w:tcPr>
            <w:tcW w:w="755" w:type="dxa"/>
            <w:vAlign w:val="center"/>
          </w:tcPr>
          <w:p>
            <w:pPr>
              <w:widowControl/>
              <w:jc w:val="center"/>
              <w:rPr>
                <w:rFonts w:ascii="宋体"/>
                <w:color w:val="auto"/>
                <w:kern w:val="0"/>
              </w:rPr>
            </w:pPr>
            <w:r>
              <w:rPr>
                <w:rFonts w:ascii="宋体" w:hAnsi="宋体" w:cs="宋体"/>
                <w:color w:val="auto"/>
                <w:kern w:val="0"/>
              </w:rPr>
              <w:t>5</w:t>
            </w:r>
          </w:p>
        </w:tc>
        <w:tc>
          <w:tcPr>
            <w:tcW w:w="2241" w:type="dxa"/>
            <w:vAlign w:val="center"/>
          </w:tcPr>
          <w:p>
            <w:pPr>
              <w:tabs>
                <w:tab w:val="left" w:pos="1320"/>
              </w:tabs>
              <w:snapToGrid w:val="0"/>
              <w:spacing w:line="440" w:lineRule="exact"/>
              <w:jc w:val="center"/>
              <w:rPr>
                <w:rFonts w:ascii="宋体"/>
                <w:color w:val="auto"/>
              </w:rPr>
            </w:pPr>
            <w:r>
              <w:rPr>
                <w:rFonts w:hint="eastAsia" w:ascii="宋体" w:hAnsi="宋体" w:cs="宋体"/>
                <w:color w:val="auto"/>
                <w:kern w:val="0"/>
              </w:rPr>
              <w:t>成槽性</w:t>
            </w:r>
          </w:p>
        </w:tc>
        <w:tc>
          <w:tcPr>
            <w:tcW w:w="2449" w:type="dxa"/>
            <w:vAlign w:val="center"/>
          </w:tcPr>
          <w:p>
            <w:pPr>
              <w:widowControl/>
              <w:jc w:val="center"/>
              <w:rPr>
                <w:rFonts w:ascii="宋体"/>
                <w:color w:val="auto"/>
                <w:kern w:val="0"/>
              </w:rPr>
            </w:pPr>
            <w:r>
              <w:rPr>
                <w:rFonts w:ascii="宋体" w:hAnsi="宋体" w:cs="宋体"/>
                <w:color w:val="auto"/>
                <w:kern w:val="0"/>
              </w:rPr>
              <w:t>HG 2297-1992</w:t>
            </w:r>
          </w:p>
        </w:tc>
        <w:tc>
          <w:tcPr>
            <w:tcW w:w="1708" w:type="dxa"/>
            <w:vAlign w:val="center"/>
          </w:tcPr>
          <w:p>
            <w:pPr>
              <w:widowControl/>
              <w:jc w:val="center"/>
              <w:rPr>
                <w:rFonts w:ascii="宋体"/>
                <w:color w:val="auto"/>
                <w:kern w:val="0"/>
              </w:rPr>
            </w:pPr>
            <w:r>
              <w:rPr>
                <w:rFonts w:ascii="宋体" w:hAnsi="宋体" w:cs="宋体"/>
                <w:color w:val="auto"/>
                <w:kern w:val="0"/>
              </w:rPr>
              <w:t>GB/T 7983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369" w:type="dxa"/>
            <w:vMerge w:val="continue"/>
            <w:vAlign w:val="center"/>
          </w:tcPr>
          <w:p>
            <w:pPr>
              <w:widowControl/>
              <w:jc w:val="center"/>
              <w:rPr>
                <w:rFonts w:ascii="宋体"/>
                <w:color w:val="auto"/>
                <w:kern w:val="0"/>
              </w:rPr>
            </w:pPr>
          </w:p>
        </w:tc>
        <w:tc>
          <w:tcPr>
            <w:tcW w:w="755" w:type="dxa"/>
            <w:vAlign w:val="center"/>
          </w:tcPr>
          <w:p>
            <w:pPr>
              <w:widowControl/>
              <w:jc w:val="center"/>
              <w:rPr>
                <w:rFonts w:ascii="宋体"/>
                <w:color w:val="auto"/>
                <w:kern w:val="0"/>
              </w:rPr>
            </w:pPr>
            <w:r>
              <w:rPr>
                <w:rFonts w:ascii="宋体" w:hAnsi="宋体" w:cs="宋体"/>
                <w:color w:val="auto"/>
                <w:kern w:val="0"/>
              </w:rPr>
              <w:t>6</w:t>
            </w:r>
          </w:p>
        </w:tc>
        <w:tc>
          <w:tcPr>
            <w:tcW w:w="2241" w:type="dxa"/>
            <w:vAlign w:val="center"/>
          </w:tcPr>
          <w:p>
            <w:pPr>
              <w:tabs>
                <w:tab w:val="left" w:pos="1320"/>
              </w:tabs>
              <w:snapToGrid w:val="0"/>
              <w:spacing w:line="440" w:lineRule="exact"/>
              <w:jc w:val="center"/>
              <w:rPr>
                <w:rFonts w:ascii="宋体"/>
                <w:color w:val="auto"/>
              </w:rPr>
            </w:pPr>
            <w:r>
              <w:rPr>
                <w:rFonts w:hint="eastAsia" w:ascii="宋体" w:hAnsi="宋体" w:cs="宋体"/>
                <w:color w:val="auto"/>
                <w:kern w:val="0"/>
              </w:rPr>
              <w:t>直线度</w:t>
            </w:r>
          </w:p>
        </w:tc>
        <w:tc>
          <w:tcPr>
            <w:tcW w:w="2449" w:type="dxa"/>
            <w:vAlign w:val="center"/>
          </w:tcPr>
          <w:p>
            <w:pPr>
              <w:widowControl/>
              <w:jc w:val="center"/>
              <w:rPr>
                <w:rFonts w:ascii="宋体"/>
                <w:color w:val="auto"/>
                <w:kern w:val="0"/>
              </w:rPr>
            </w:pPr>
            <w:r>
              <w:rPr>
                <w:rFonts w:ascii="宋体" w:hAnsi="宋体" w:cs="宋体"/>
                <w:color w:val="auto"/>
                <w:kern w:val="0"/>
              </w:rPr>
              <w:t>HG 2297-1992</w:t>
            </w:r>
          </w:p>
        </w:tc>
        <w:tc>
          <w:tcPr>
            <w:tcW w:w="1708" w:type="dxa"/>
            <w:vAlign w:val="center"/>
          </w:tcPr>
          <w:p>
            <w:pPr>
              <w:widowControl/>
              <w:jc w:val="center"/>
              <w:rPr>
                <w:rFonts w:ascii="宋体"/>
                <w:color w:val="auto"/>
                <w:kern w:val="0"/>
              </w:rPr>
            </w:pPr>
            <w:r>
              <w:rPr>
                <w:rFonts w:ascii="宋体" w:hAnsi="宋体" w:cs="宋体"/>
                <w:color w:val="auto"/>
                <w:kern w:val="0"/>
              </w:rPr>
              <w:t>GB/T 7984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369" w:type="dxa"/>
            <w:vMerge w:val="continue"/>
            <w:vAlign w:val="center"/>
          </w:tcPr>
          <w:p>
            <w:pPr>
              <w:widowControl/>
              <w:jc w:val="center"/>
              <w:rPr>
                <w:rFonts w:ascii="宋体"/>
                <w:color w:val="auto"/>
                <w:kern w:val="0"/>
              </w:rPr>
            </w:pPr>
          </w:p>
        </w:tc>
        <w:tc>
          <w:tcPr>
            <w:tcW w:w="7153" w:type="dxa"/>
            <w:gridSpan w:val="4"/>
            <w:vAlign w:val="center"/>
          </w:tcPr>
          <w:p>
            <w:pPr>
              <w:widowControl/>
              <w:rPr>
                <w:rFonts w:ascii="宋体"/>
                <w:color w:val="auto"/>
                <w:kern w:val="0"/>
              </w:rPr>
            </w:pPr>
            <w:r>
              <w:rPr>
                <w:rFonts w:hint="eastAsia" w:ascii="宋体" w:hAnsi="宋体" w:cs="宋体"/>
                <w:color w:val="auto"/>
                <w:kern w:val="0"/>
                <w:sz w:val="18"/>
                <w:szCs w:val="18"/>
              </w:rPr>
              <w:t>注：</w:t>
            </w:r>
            <w:r>
              <w:rPr>
                <w:rFonts w:ascii="宋体" w:hAnsi="宋体" w:cs="宋体"/>
                <w:color w:val="auto"/>
                <w:kern w:val="0"/>
                <w:sz w:val="18"/>
                <w:szCs w:val="18"/>
              </w:rPr>
              <w:t xml:space="preserve"> 1</w:t>
            </w:r>
            <w:r>
              <w:rPr>
                <w:rFonts w:hint="eastAsia" w:ascii="宋体" w:hAnsi="宋体" w:cs="宋体"/>
                <w:color w:val="auto"/>
                <w:kern w:val="0"/>
                <w:sz w:val="18"/>
                <w:szCs w:val="18"/>
              </w:rPr>
              <w:t>～</w:t>
            </w:r>
            <w:r>
              <w:rPr>
                <w:rFonts w:ascii="宋体" w:hAnsi="宋体" w:cs="宋体"/>
                <w:color w:val="auto"/>
                <w:kern w:val="0"/>
                <w:sz w:val="18"/>
                <w:szCs w:val="18"/>
              </w:rPr>
              <w:t>7</w:t>
            </w:r>
            <w:r>
              <w:rPr>
                <w:rFonts w:hint="eastAsia" w:ascii="宋体" w:hAnsi="宋体" w:cs="宋体"/>
                <w:color w:val="auto"/>
                <w:kern w:val="0"/>
                <w:sz w:val="18"/>
                <w:szCs w:val="18"/>
              </w:rPr>
              <w:t>项为生产企业抽查样品检验项目，</w:t>
            </w:r>
            <w:r>
              <w:rPr>
                <w:rFonts w:ascii="宋体" w:hAnsi="宋体" w:cs="宋体"/>
                <w:color w:val="auto"/>
                <w:kern w:val="0"/>
                <w:sz w:val="18"/>
                <w:szCs w:val="18"/>
              </w:rPr>
              <w:t>1</w:t>
            </w:r>
            <w:r>
              <w:rPr>
                <w:rFonts w:hint="eastAsia" w:ascii="宋体" w:hAnsi="宋体" w:cs="宋体"/>
                <w:color w:val="auto"/>
                <w:kern w:val="0"/>
                <w:sz w:val="18"/>
                <w:szCs w:val="18"/>
              </w:rPr>
              <w:t>～</w:t>
            </w:r>
            <w:r>
              <w:rPr>
                <w:rFonts w:ascii="宋体" w:hAnsi="宋体" w:cs="宋体"/>
                <w:color w:val="auto"/>
                <w:kern w:val="0"/>
                <w:sz w:val="18"/>
                <w:szCs w:val="18"/>
              </w:rPr>
              <w:t>4</w:t>
            </w:r>
            <w:r>
              <w:rPr>
                <w:rFonts w:hint="eastAsia" w:ascii="宋体" w:hAnsi="宋体" w:cs="宋体"/>
                <w:color w:val="auto"/>
                <w:kern w:val="0"/>
                <w:sz w:val="18"/>
                <w:szCs w:val="18"/>
              </w:rPr>
              <w:t>为流通领域抽查样品检验项目。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1369" w:type="dxa"/>
            <w:vMerge w:val="restart"/>
            <w:vAlign w:val="center"/>
          </w:tcPr>
          <w:p>
            <w:pPr>
              <w:jc w:val="center"/>
              <w:rPr>
                <w:rFonts w:ascii="宋体"/>
                <w:color w:val="auto"/>
                <w:kern w:val="0"/>
              </w:rPr>
            </w:pPr>
            <w:r>
              <w:rPr>
                <w:rFonts w:hint="eastAsia" w:ascii="宋体" w:hAnsi="宋体" w:cs="宋体"/>
                <w:color w:val="auto"/>
                <w:kern w:val="0"/>
              </w:rPr>
              <w:t>普通用途织物芯输送带</w:t>
            </w:r>
          </w:p>
        </w:tc>
        <w:tc>
          <w:tcPr>
            <w:tcW w:w="755" w:type="dxa"/>
            <w:vAlign w:val="center"/>
          </w:tcPr>
          <w:p>
            <w:pPr>
              <w:jc w:val="center"/>
              <w:rPr>
                <w:rFonts w:ascii="宋体"/>
                <w:color w:val="auto"/>
                <w:kern w:val="0"/>
              </w:rPr>
            </w:pPr>
            <w:r>
              <w:rPr>
                <w:rFonts w:ascii="宋体" w:hAnsi="宋体" w:cs="宋体"/>
                <w:color w:val="auto"/>
                <w:kern w:val="0"/>
              </w:rPr>
              <w:t>1</w:t>
            </w:r>
          </w:p>
        </w:tc>
        <w:tc>
          <w:tcPr>
            <w:tcW w:w="2241" w:type="dxa"/>
            <w:vAlign w:val="center"/>
          </w:tcPr>
          <w:p>
            <w:pPr>
              <w:jc w:val="center"/>
              <w:rPr>
                <w:rFonts w:ascii="宋体"/>
                <w:color w:val="auto"/>
                <w:kern w:val="0"/>
              </w:rPr>
            </w:pPr>
            <w:r>
              <w:rPr>
                <w:rFonts w:hint="eastAsia" w:ascii="宋体" w:hAnsi="宋体" w:cs="宋体"/>
                <w:color w:val="auto"/>
                <w:kern w:val="0"/>
              </w:rPr>
              <w:t>拉伸强度</w:t>
            </w:r>
          </w:p>
        </w:tc>
        <w:tc>
          <w:tcPr>
            <w:tcW w:w="2449" w:type="dxa"/>
            <w:vAlign w:val="center"/>
          </w:tcPr>
          <w:p>
            <w:pPr>
              <w:jc w:val="center"/>
              <w:rPr>
                <w:rFonts w:ascii="宋体"/>
                <w:color w:val="auto"/>
                <w:kern w:val="0"/>
              </w:rPr>
            </w:pPr>
            <w:r>
              <w:rPr>
                <w:rFonts w:ascii="宋体" w:hAnsi="宋体" w:cs="宋体"/>
                <w:color w:val="auto"/>
              </w:rPr>
              <w:t>GB/T 7984-2013</w:t>
            </w:r>
          </w:p>
        </w:tc>
        <w:tc>
          <w:tcPr>
            <w:tcW w:w="1708" w:type="dxa"/>
            <w:vAlign w:val="center"/>
          </w:tcPr>
          <w:p>
            <w:pPr>
              <w:jc w:val="center"/>
              <w:rPr>
                <w:rFonts w:ascii="宋体"/>
                <w:color w:val="auto"/>
                <w:kern w:val="0"/>
              </w:rPr>
            </w:pPr>
            <w:r>
              <w:rPr>
                <w:rFonts w:ascii="宋体" w:hAnsi="宋体" w:cs="宋体"/>
                <w:color w:val="auto"/>
                <w:kern w:val="0"/>
              </w:rPr>
              <w:t>GB/T 528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1369" w:type="dxa"/>
            <w:vMerge w:val="continue"/>
            <w:vAlign w:val="center"/>
          </w:tcPr>
          <w:p>
            <w:pPr>
              <w:jc w:val="center"/>
              <w:rPr>
                <w:rFonts w:ascii="宋体"/>
                <w:color w:val="auto"/>
                <w:kern w:val="0"/>
              </w:rPr>
            </w:pPr>
          </w:p>
        </w:tc>
        <w:tc>
          <w:tcPr>
            <w:tcW w:w="755" w:type="dxa"/>
            <w:vAlign w:val="center"/>
          </w:tcPr>
          <w:p>
            <w:pPr>
              <w:widowControl/>
              <w:jc w:val="center"/>
              <w:rPr>
                <w:rFonts w:ascii="宋体"/>
                <w:color w:val="auto"/>
                <w:kern w:val="0"/>
              </w:rPr>
            </w:pPr>
            <w:r>
              <w:rPr>
                <w:rFonts w:ascii="宋体" w:hAnsi="宋体" w:cs="宋体"/>
                <w:color w:val="auto"/>
                <w:kern w:val="0"/>
              </w:rPr>
              <w:t>2</w:t>
            </w:r>
          </w:p>
        </w:tc>
        <w:tc>
          <w:tcPr>
            <w:tcW w:w="2241" w:type="dxa"/>
            <w:vAlign w:val="center"/>
          </w:tcPr>
          <w:p>
            <w:pPr>
              <w:widowControl/>
              <w:jc w:val="center"/>
              <w:rPr>
                <w:rFonts w:ascii="宋体"/>
                <w:color w:val="auto"/>
                <w:kern w:val="0"/>
              </w:rPr>
            </w:pPr>
            <w:r>
              <w:rPr>
                <w:rFonts w:hint="eastAsia" w:ascii="宋体" w:hAnsi="宋体" w:cs="宋体"/>
                <w:color w:val="auto"/>
                <w:kern w:val="0"/>
              </w:rPr>
              <w:t>拉断伸长率</w:t>
            </w:r>
          </w:p>
        </w:tc>
        <w:tc>
          <w:tcPr>
            <w:tcW w:w="2449" w:type="dxa"/>
            <w:vAlign w:val="center"/>
          </w:tcPr>
          <w:p>
            <w:pPr>
              <w:jc w:val="center"/>
              <w:rPr>
                <w:rFonts w:ascii="宋体"/>
                <w:color w:val="auto"/>
                <w:kern w:val="0"/>
              </w:rPr>
            </w:pPr>
            <w:r>
              <w:rPr>
                <w:rFonts w:ascii="宋体" w:hAnsi="宋体" w:cs="宋体"/>
                <w:color w:val="auto"/>
              </w:rPr>
              <w:t>GB/T 7984-2013</w:t>
            </w:r>
          </w:p>
        </w:tc>
        <w:tc>
          <w:tcPr>
            <w:tcW w:w="1708" w:type="dxa"/>
            <w:vAlign w:val="center"/>
          </w:tcPr>
          <w:p>
            <w:pPr>
              <w:widowControl/>
              <w:jc w:val="center"/>
              <w:rPr>
                <w:rFonts w:ascii="宋体"/>
                <w:color w:val="auto"/>
                <w:kern w:val="0"/>
              </w:rPr>
            </w:pPr>
            <w:r>
              <w:rPr>
                <w:rFonts w:ascii="宋体" w:hAnsi="宋体" w:cs="宋体"/>
                <w:color w:val="auto"/>
                <w:kern w:val="0"/>
              </w:rPr>
              <w:t>GB/T 528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1369" w:type="dxa"/>
            <w:vMerge w:val="continue"/>
            <w:vAlign w:val="center"/>
          </w:tcPr>
          <w:p>
            <w:pPr>
              <w:jc w:val="center"/>
              <w:rPr>
                <w:rFonts w:ascii="宋体"/>
                <w:color w:val="auto"/>
                <w:kern w:val="0"/>
              </w:rPr>
            </w:pPr>
          </w:p>
        </w:tc>
        <w:tc>
          <w:tcPr>
            <w:tcW w:w="755" w:type="dxa"/>
            <w:vAlign w:val="center"/>
          </w:tcPr>
          <w:p>
            <w:pPr>
              <w:widowControl/>
              <w:jc w:val="center"/>
              <w:rPr>
                <w:rFonts w:ascii="宋体"/>
                <w:color w:val="auto"/>
                <w:kern w:val="0"/>
              </w:rPr>
            </w:pPr>
            <w:r>
              <w:rPr>
                <w:rFonts w:ascii="宋体" w:hAnsi="宋体" w:cs="宋体"/>
                <w:color w:val="auto"/>
                <w:kern w:val="0"/>
              </w:rPr>
              <w:t>3</w:t>
            </w:r>
          </w:p>
        </w:tc>
        <w:tc>
          <w:tcPr>
            <w:tcW w:w="2241" w:type="dxa"/>
            <w:vAlign w:val="center"/>
          </w:tcPr>
          <w:p>
            <w:pPr>
              <w:widowControl/>
              <w:jc w:val="center"/>
              <w:rPr>
                <w:rFonts w:ascii="宋体"/>
                <w:color w:val="auto"/>
                <w:kern w:val="0"/>
              </w:rPr>
            </w:pPr>
            <w:r>
              <w:rPr>
                <w:rFonts w:hint="eastAsia" w:ascii="宋体" w:hAnsi="宋体" w:cs="宋体"/>
                <w:color w:val="auto"/>
                <w:kern w:val="0"/>
              </w:rPr>
              <w:t>磨耗量</w:t>
            </w:r>
          </w:p>
        </w:tc>
        <w:tc>
          <w:tcPr>
            <w:tcW w:w="2449" w:type="dxa"/>
            <w:vAlign w:val="center"/>
          </w:tcPr>
          <w:p>
            <w:pPr>
              <w:widowControl/>
              <w:jc w:val="center"/>
              <w:rPr>
                <w:rFonts w:ascii="宋体"/>
                <w:color w:val="auto"/>
                <w:kern w:val="0"/>
              </w:rPr>
            </w:pPr>
            <w:r>
              <w:rPr>
                <w:rFonts w:ascii="宋体" w:hAnsi="宋体" w:cs="宋体"/>
                <w:color w:val="auto"/>
              </w:rPr>
              <w:t>GB/T 7984-2013</w:t>
            </w:r>
          </w:p>
        </w:tc>
        <w:tc>
          <w:tcPr>
            <w:tcW w:w="1708" w:type="dxa"/>
            <w:vAlign w:val="center"/>
          </w:tcPr>
          <w:p>
            <w:pPr>
              <w:widowControl/>
              <w:jc w:val="center"/>
              <w:rPr>
                <w:rFonts w:ascii="宋体"/>
                <w:color w:val="auto"/>
                <w:kern w:val="0"/>
              </w:rPr>
            </w:pPr>
            <w:r>
              <w:rPr>
                <w:rFonts w:ascii="宋体" w:hAnsi="宋体" w:cs="宋体"/>
                <w:color w:val="auto"/>
                <w:kern w:val="0"/>
              </w:rPr>
              <w:t>GB/T 3690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1369" w:type="dxa"/>
            <w:vMerge w:val="continue"/>
            <w:vAlign w:val="center"/>
          </w:tcPr>
          <w:p>
            <w:pPr>
              <w:jc w:val="center"/>
              <w:rPr>
                <w:rFonts w:ascii="宋体"/>
                <w:color w:val="auto"/>
                <w:kern w:val="0"/>
              </w:rPr>
            </w:pPr>
          </w:p>
        </w:tc>
        <w:tc>
          <w:tcPr>
            <w:tcW w:w="755" w:type="dxa"/>
            <w:vAlign w:val="center"/>
          </w:tcPr>
          <w:p>
            <w:pPr>
              <w:widowControl/>
              <w:jc w:val="center"/>
              <w:rPr>
                <w:rFonts w:ascii="宋体"/>
                <w:color w:val="auto"/>
                <w:kern w:val="0"/>
              </w:rPr>
            </w:pPr>
            <w:r>
              <w:rPr>
                <w:rFonts w:ascii="宋体" w:hAnsi="宋体" w:cs="宋体"/>
                <w:color w:val="auto"/>
                <w:kern w:val="0"/>
              </w:rPr>
              <w:t>4</w:t>
            </w:r>
          </w:p>
        </w:tc>
        <w:tc>
          <w:tcPr>
            <w:tcW w:w="2241" w:type="dxa"/>
            <w:vAlign w:val="center"/>
          </w:tcPr>
          <w:p>
            <w:pPr>
              <w:widowControl/>
              <w:jc w:val="center"/>
              <w:rPr>
                <w:rFonts w:ascii="宋体"/>
                <w:color w:val="auto"/>
                <w:kern w:val="0"/>
              </w:rPr>
            </w:pPr>
            <w:r>
              <w:rPr>
                <w:rFonts w:hint="eastAsia" w:ascii="宋体" w:hAnsi="宋体" w:cs="宋体"/>
                <w:color w:val="auto"/>
                <w:kern w:val="0"/>
              </w:rPr>
              <w:t>老化性能</w:t>
            </w:r>
          </w:p>
        </w:tc>
        <w:tc>
          <w:tcPr>
            <w:tcW w:w="2449" w:type="dxa"/>
            <w:vAlign w:val="center"/>
          </w:tcPr>
          <w:p>
            <w:pPr>
              <w:widowControl/>
              <w:jc w:val="center"/>
              <w:rPr>
                <w:rFonts w:ascii="宋体"/>
                <w:color w:val="auto"/>
                <w:kern w:val="0"/>
              </w:rPr>
            </w:pPr>
            <w:r>
              <w:rPr>
                <w:rFonts w:ascii="宋体" w:hAnsi="宋体" w:cs="宋体"/>
                <w:color w:val="auto"/>
              </w:rPr>
              <w:t>GB/T 7984-2013</w:t>
            </w:r>
          </w:p>
        </w:tc>
        <w:tc>
          <w:tcPr>
            <w:tcW w:w="1708" w:type="dxa"/>
            <w:vAlign w:val="center"/>
          </w:tcPr>
          <w:p>
            <w:pPr>
              <w:widowControl/>
              <w:jc w:val="center"/>
              <w:rPr>
                <w:rFonts w:ascii="宋体"/>
                <w:color w:val="auto"/>
                <w:kern w:val="0"/>
              </w:rPr>
            </w:pPr>
            <w:r>
              <w:rPr>
                <w:rFonts w:ascii="宋体" w:hAnsi="宋体" w:cs="宋体"/>
                <w:color w:val="auto"/>
                <w:kern w:val="0"/>
              </w:rPr>
              <w:t>GB/T 3512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1369" w:type="dxa"/>
            <w:vMerge w:val="continue"/>
            <w:vAlign w:val="center"/>
          </w:tcPr>
          <w:p>
            <w:pPr>
              <w:widowControl/>
              <w:jc w:val="center"/>
              <w:rPr>
                <w:rFonts w:ascii="宋体"/>
                <w:color w:val="auto"/>
                <w:kern w:val="0"/>
              </w:rPr>
            </w:pPr>
          </w:p>
        </w:tc>
        <w:tc>
          <w:tcPr>
            <w:tcW w:w="755" w:type="dxa"/>
            <w:vAlign w:val="center"/>
          </w:tcPr>
          <w:p>
            <w:pPr>
              <w:widowControl/>
              <w:jc w:val="center"/>
              <w:rPr>
                <w:rFonts w:ascii="宋体"/>
                <w:color w:val="auto"/>
                <w:kern w:val="0"/>
              </w:rPr>
            </w:pPr>
            <w:r>
              <w:rPr>
                <w:rFonts w:ascii="宋体" w:hAnsi="宋体" w:cs="宋体"/>
                <w:color w:val="auto"/>
                <w:kern w:val="0"/>
              </w:rPr>
              <w:t>5</w:t>
            </w:r>
          </w:p>
        </w:tc>
        <w:tc>
          <w:tcPr>
            <w:tcW w:w="2241" w:type="dxa"/>
            <w:vAlign w:val="center"/>
          </w:tcPr>
          <w:p>
            <w:pPr>
              <w:tabs>
                <w:tab w:val="left" w:pos="1320"/>
              </w:tabs>
              <w:snapToGrid w:val="0"/>
              <w:spacing w:line="440" w:lineRule="exact"/>
              <w:jc w:val="center"/>
              <w:rPr>
                <w:rFonts w:ascii="宋体"/>
                <w:color w:val="auto"/>
              </w:rPr>
            </w:pPr>
            <w:r>
              <w:rPr>
                <w:rFonts w:hint="eastAsia" w:ascii="宋体" w:hAnsi="宋体" w:cs="宋体"/>
                <w:color w:val="auto"/>
                <w:kern w:val="0"/>
              </w:rPr>
              <w:t>层间黏合强度</w:t>
            </w:r>
          </w:p>
        </w:tc>
        <w:tc>
          <w:tcPr>
            <w:tcW w:w="2449" w:type="dxa"/>
            <w:vAlign w:val="center"/>
          </w:tcPr>
          <w:p>
            <w:pPr>
              <w:widowControl/>
              <w:jc w:val="center"/>
              <w:rPr>
                <w:rFonts w:ascii="宋体"/>
                <w:color w:val="auto"/>
                <w:kern w:val="0"/>
              </w:rPr>
            </w:pPr>
            <w:r>
              <w:rPr>
                <w:rFonts w:ascii="宋体" w:hAnsi="宋体" w:cs="宋体"/>
                <w:color w:val="auto"/>
              </w:rPr>
              <w:t>GB/T 7984-2013</w:t>
            </w:r>
          </w:p>
        </w:tc>
        <w:tc>
          <w:tcPr>
            <w:tcW w:w="1708" w:type="dxa"/>
            <w:vAlign w:val="center"/>
          </w:tcPr>
          <w:p>
            <w:pPr>
              <w:tabs>
                <w:tab w:val="left" w:pos="1320"/>
              </w:tabs>
              <w:snapToGrid w:val="0"/>
              <w:spacing w:line="440" w:lineRule="exact"/>
              <w:jc w:val="center"/>
              <w:rPr>
                <w:rFonts w:ascii="宋体"/>
                <w:color w:val="auto"/>
              </w:rPr>
            </w:pPr>
            <w:r>
              <w:rPr>
                <w:rFonts w:ascii="宋体" w:hAnsi="宋体" w:cs="宋体"/>
                <w:color w:val="auto"/>
              </w:rPr>
              <w:t>GB/T 6759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1369" w:type="dxa"/>
            <w:vMerge w:val="continue"/>
            <w:vAlign w:val="center"/>
          </w:tcPr>
          <w:p>
            <w:pPr>
              <w:widowControl/>
              <w:jc w:val="center"/>
              <w:rPr>
                <w:rFonts w:ascii="宋体"/>
                <w:color w:val="auto"/>
                <w:kern w:val="0"/>
              </w:rPr>
            </w:pPr>
          </w:p>
        </w:tc>
        <w:tc>
          <w:tcPr>
            <w:tcW w:w="755" w:type="dxa"/>
            <w:vAlign w:val="center"/>
          </w:tcPr>
          <w:p>
            <w:pPr>
              <w:widowControl/>
              <w:jc w:val="center"/>
              <w:rPr>
                <w:rFonts w:ascii="宋体"/>
                <w:color w:val="auto"/>
                <w:kern w:val="0"/>
              </w:rPr>
            </w:pPr>
            <w:r>
              <w:rPr>
                <w:rFonts w:ascii="宋体" w:hAnsi="宋体" w:cs="宋体"/>
                <w:color w:val="auto"/>
                <w:kern w:val="0"/>
              </w:rPr>
              <w:t>6</w:t>
            </w:r>
          </w:p>
        </w:tc>
        <w:tc>
          <w:tcPr>
            <w:tcW w:w="2241" w:type="dxa"/>
            <w:vAlign w:val="center"/>
          </w:tcPr>
          <w:p>
            <w:pPr>
              <w:tabs>
                <w:tab w:val="left" w:pos="1320"/>
              </w:tabs>
              <w:snapToGrid w:val="0"/>
              <w:spacing w:line="440" w:lineRule="exact"/>
              <w:jc w:val="center"/>
              <w:rPr>
                <w:rFonts w:ascii="宋体"/>
                <w:color w:val="auto"/>
              </w:rPr>
            </w:pPr>
            <w:r>
              <w:rPr>
                <w:rFonts w:hint="eastAsia" w:ascii="宋体" w:hAnsi="宋体" w:cs="宋体"/>
                <w:color w:val="auto"/>
                <w:kern w:val="0"/>
              </w:rPr>
              <w:t>成槽性</w:t>
            </w:r>
          </w:p>
        </w:tc>
        <w:tc>
          <w:tcPr>
            <w:tcW w:w="2449" w:type="dxa"/>
            <w:vAlign w:val="center"/>
          </w:tcPr>
          <w:p>
            <w:pPr>
              <w:widowControl/>
              <w:jc w:val="center"/>
              <w:rPr>
                <w:rFonts w:ascii="宋体"/>
                <w:color w:val="auto"/>
                <w:kern w:val="0"/>
              </w:rPr>
            </w:pPr>
            <w:r>
              <w:rPr>
                <w:rFonts w:ascii="宋体" w:hAnsi="宋体" w:cs="宋体"/>
                <w:color w:val="auto"/>
              </w:rPr>
              <w:t>GB/T 7984-2013</w:t>
            </w:r>
          </w:p>
        </w:tc>
        <w:tc>
          <w:tcPr>
            <w:tcW w:w="1708" w:type="dxa"/>
            <w:vAlign w:val="center"/>
          </w:tcPr>
          <w:p>
            <w:pPr>
              <w:tabs>
                <w:tab w:val="left" w:pos="1320"/>
              </w:tabs>
              <w:snapToGrid w:val="0"/>
              <w:spacing w:line="440" w:lineRule="exact"/>
              <w:jc w:val="center"/>
              <w:rPr>
                <w:rFonts w:ascii="宋体"/>
                <w:color w:val="auto"/>
              </w:rPr>
            </w:pPr>
            <w:r>
              <w:rPr>
                <w:rFonts w:ascii="宋体" w:hAnsi="宋体" w:cs="宋体"/>
                <w:color w:val="auto"/>
              </w:rPr>
              <w:t>GB/T 7983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1369" w:type="dxa"/>
            <w:vMerge w:val="continue"/>
            <w:vAlign w:val="center"/>
          </w:tcPr>
          <w:p>
            <w:pPr>
              <w:widowControl/>
              <w:jc w:val="center"/>
              <w:rPr>
                <w:rFonts w:ascii="宋体"/>
                <w:color w:val="auto"/>
                <w:kern w:val="0"/>
              </w:rPr>
            </w:pPr>
          </w:p>
        </w:tc>
        <w:tc>
          <w:tcPr>
            <w:tcW w:w="755" w:type="dxa"/>
            <w:vAlign w:val="center"/>
          </w:tcPr>
          <w:p>
            <w:pPr>
              <w:widowControl/>
              <w:jc w:val="center"/>
              <w:rPr>
                <w:rFonts w:ascii="宋体"/>
                <w:color w:val="auto"/>
                <w:kern w:val="0"/>
              </w:rPr>
            </w:pPr>
            <w:r>
              <w:rPr>
                <w:rFonts w:ascii="宋体" w:hAnsi="宋体" w:cs="宋体"/>
                <w:color w:val="auto"/>
                <w:kern w:val="0"/>
              </w:rPr>
              <w:t>7</w:t>
            </w:r>
          </w:p>
        </w:tc>
        <w:tc>
          <w:tcPr>
            <w:tcW w:w="2241" w:type="dxa"/>
            <w:vAlign w:val="center"/>
          </w:tcPr>
          <w:p>
            <w:pPr>
              <w:tabs>
                <w:tab w:val="left" w:pos="1320"/>
              </w:tabs>
              <w:snapToGrid w:val="0"/>
              <w:spacing w:line="440" w:lineRule="exact"/>
              <w:jc w:val="center"/>
              <w:rPr>
                <w:rFonts w:ascii="宋体"/>
                <w:color w:val="auto"/>
              </w:rPr>
            </w:pPr>
            <w:r>
              <w:rPr>
                <w:rFonts w:hint="eastAsia" w:ascii="宋体" w:hAnsi="宋体" w:cs="宋体"/>
                <w:color w:val="auto"/>
                <w:kern w:val="0"/>
              </w:rPr>
              <w:t>直线度</w:t>
            </w:r>
          </w:p>
        </w:tc>
        <w:tc>
          <w:tcPr>
            <w:tcW w:w="2449" w:type="dxa"/>
            <w:vAlign w:val="center"/>
          </w:tcPr>
          <w:p>
            <w:pPr>
              <w:widowControl/>
              <w:jc w:val="center"/>
              <w:rPr>
                <w:rFonts w:ascii="宋体"/>
                <w:color w:val="auto"/>
                <w:kern w:val="0"/>
              </w:rPr>
            </w:pPr>
            <w:r>
              <w:rPr>
                <w:rFonts w:ascii="宋体" w:hAnsi="宋体" w:cs="宋体"/>
                <w:color w:val="auto"/>
              </w:rPr>
              <w:t>GB/T 7984-2013</w:t>
            </w:r>
          </w:p>
        </w:tc>
        <w:tc>
          <w:tcPr>
            <w:tcW w:w="1708" w:type="dxa"/>
            <w:vAlign w:val="center"/>
          </w:tcPr>
          <w:p>
            <w:pPr>
              <w:tabs>
                <w:tab w:val="left" w:pos="1320"/>
              </w:tabs>
              <w:snapToGrid w:val="0"/>
              <w:spacing w:line="440" w:lineRule="exact"/>
              <w:jc w:val="center"/>
              <w:rPr>
                <w:rFonts w:ascii="宋体"/>
                <w:color w:val="auto"/>
              </w:rPr>
            </w:pPr>
            <w:r>
              <w:rPr>
                <w:rFonts w:ascii="宋体" w:hAnsi="宋体" w:cs="宋体"/>
                <w:color w:val="auto"/>
              </w:rPr>
              <w:t>GB/T 7984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1369" w:type="dxa"/>
            <w:vMerge w:val="continue"/>
            <w:vAlign w:val="center"/>
          </w:tcPr>
          <w:p>
            <w:pPr>
              <w:widowControl/>
              <w:jc w:val="center"/>
              <w:rPr>
                <w:rFonts w:ascii="宋体"/>
                <w:color w:val="auto"/>
                <w:kern w:val="0"/>
              </w:rPr>
            </w:pPr>
          </w:p>
        </w:tc>
        <w:tc>
          <w:tcPr>
            <w:tcW w:w="7153" w:type="dxa"/>
            <w:gridSpan w:val="4"/>
            <w:vAlign w:val="center"/>
          </w:tcPr>
          <w:p>
            <w:pPr>
              <w:tabs>
                <w:tab w:val="left" w:pos="1320"/>
              </w:tabs>
              <w:snapToGrid w:val="0"/>
              <w:spacing w:line="440" w:lineRule="exact"/>
              <w:rPr>
                <w:rFonts w:ascii="宋体"/>
                <w:color w:val="auto"/>
              </w:rPr>
            </w:pPr>
            <w:r>
              <w:rPr>
                <w:rFonts w:hint="eastAsia" w:ascii="宋体" w:hAnsi="宋体" w:cs="宋体"/>
                <w:color w:val="auto"/>
                <w:kern w:val="0"/>
                <w:sz w:val="18"/>
                <w:szCs w:val="18"/>
              </w:rPr>
              <w:t>注：</w:t>
            </w:r>
            <w:r>
              <w:rPr>
                <w:rFonts w:ascii="宋体" w:hAnsi="宋体" w:cs="宋体"/>
                <w:color w:val="auto"/>
                <w:kern w:val="0"/>
                <w:sz w:val="18"/>
                <w:szCs w:val="18"/>
              </w:rPr>
              <w:t xml:space="preserve"> 1</w:t>
            </w:r>
            <w:r>
              <w:rPr>
                <w:rFonts w:hint="eastAsia" w:ascii="宋体" w:hAnsi="宋体" w:cs="宋体"/>
                <w:color w:val="auto"/>
                <w:kern w:val="0"/>
                <w:sz w:val="18"/>
                <w:szCs w:val="18"/>
              </w:rPr>
              <w:t>～</w:t>
            </w:r>
            <w:r>
              <w:rPr>
                <w:rFonts w:ascii="宋体" w:hAnsi="宋体" w:cs="宋体"/>
                <w:color w:val="auto"/>
                <w:kern w:val="0"/>
                <w:sz w:val="18"/>
                <w:szCs w:val="18"/>
              </w:rPr>
              <w:t>7</w:t>
            </w:r>
            <w:r>
              <w:rPr>
                <w:rFonts w:hint="eastAsia" w:ascii="宋体" w:hAnsi="宋体" w:cs="宋体"/>
                <w:color w:val="auto"/>
                <w:kern w:val="0"/>
                <w:sz w:val="18"/>
                <w:szCs w:val="18"/>
              </w:rPr>
              <w:t>项为生产企业抽查样品检验项目，</w:t>
            </w:r>
            <w:r>
              <w:rPr>
                <w:rFonts w:ascii="宋体" w:hAnsi="宋体" w:cs="宋体"/>
                <w:color w:val="auto"/>
                <w:kern w:val="0"/>
                <w:sz w:val="18"/>
                <w:szCs w:val="18"/>
              </w:rPr>
              <w:t>1</w:t>
            </w:r>
            <w:r>
              <w:rPr>
                <w:rFonts w:hint="eastAsia" w:ascii="宋体" w:hAnsi="宋体" w:cs="宋体"/>
                <w:color w:val="auto"/>
                <w:kern w:val="0"/>
                <w:sz w:val="18"/>
                <w:szCs w:val="18"/>
              </w:rPr>
              <w:t>～</w:t>
            </w:r>
            <w:r>
              <w:rPr>
                <w:rFonts w:ascii="宋体" w:hAnsi="宋体" w:cs="宋体"/>
                <w:color w:val="auto"/>
                <w:kern w:val="0"/>
                <w:sz w:val="18"/>
                <w:szCs w:val="18"/>
              </w:rPr>
              <w:t>5</w:t>
            </w:r>
            <w:r>
              <w:rPr>
                <w:rFonts w:hint="eastAsia" w:ascii="宋体" w:hAnsi="宋体" w:cs="宋体"/>
                <w:color w:val="auto"/>
                <w:kern w:val="0"/>
                <w:sz w:val="18"/>
                <w:szCs w:val="18"/>
              </w:rPr>
              <w:t>为流通领域抽查样品检验项目。</w:t>
            </w:r>
          </w:p>
        </w:tc>
      </w:tr>
    </w:tbl>
    <w:p>
      <w:pPr>
        <w:widowControl/>
        <w:spacing w:line="440" w:lineRule="exact"/>
        <w:jc w:val="left"/>
        <w:rPr>
          <w:rFonts w:ascii="宋体"/>
          <w:color w:val="auto"/>
        </w:rPr>
      </w:pPr>
      <w:r>
        <w:rPr>
          <w:rFonts w:ascii="宋体" w:hAnsi="宋体" w:cs="宋体"/>
          <w:color w:val="auto"/>
        </w:rPr>
        <w:t xml:space="preserve">7.2 </w:t>
      </w:r>
      <w:r>
        <w:rPr>
          <w:rFonts w:hint="eastAsia" w:ascii="宋体" w:hAnsi="宋体" w:cs="宋体"/>
          <w:color w:val="auto"/>
        </w:rPr>
        <w:t>检验应注意的问题</w:t>
      </w:r>
    </w:p>
    <w:p>
      <w:pPr>
        <w:snapToGrid w:val="0"/>
        <w:spacing w:line="440" w:lineRule="exact"/>
        <w:rPr>
          <w:rFonts w:ascii="宋体"/>
          <w:color w:val="auto"/>
        </w:rPr>
      </w:pPr>
      <w:r>
        <w:rPr>
          <w:rFonts w:ascii="宋体" w:hAnsi="宋体" w:cs="宋体"/>
          <w:color w:val="auto"/>
        </w:rPr>
        <w:t>7.2.1</w:t>
      </w:r>
      <w:r>
        <w:rPr>
          <w:rFonts w:hint="eastAsia" w:ascii="宋体" w:hAnsi="宋体" w:cs="宋体"/>
          <w:color w:val="auto"/>
        </w:rPr>
        <w:t>若被检产品明示的质量要求高于本细则中检验项目依据的标准要求时，应按被检产品明示的质量要求判定；若被检产品明示的质量要求低于本细则中检验项目依据的强制性标准要求时，应按照强制性标准要求判定；若被检产品明示的质量要求低于或包含细则中检验项目依据的推荐性标准要求时，应以被检产品明示的质量要求判定；若被检产品明示的质量要求缺少本细则中检验项目依据的强制性标准要求时，应按照强制性标准要求判定；若被检产品明示的质量要求缺少本细则中检验项目依据的推荐性标准要求时，该项目不参与判定，但应在检验报告备注中进行说明。</w:t>
      </w:r>
    </w:p>
    <w:p>
      <w:pPr>
        <w:snapToGrid w:val="0"/>
        <w:spacing w:line="440" w:lineRule="exact"/>
        <w:rPr>
          <w:rFonts w:ascii="宋体"/>
          <w:color w:val="auto"/>
        </w:rPr>
      </w:pPr>
      <w:r>
        <w:rPr>
          <w:rFonts w:ascii="宋体" w:hAnsi="宋体" w:cs="宋体"/>
          <w:color w:val="auto"/>
        </w:rPr>
        <w:t>7.2.2</w:t>
      </w:r>
      <w:r>
        <w:rPr>
          <w:rFonts w:hint="eastAsia" w:ascii="宋体" w:hAnsi="宋体" w:cs="宋体"/>
          <w:color w:val="auto"/>
        </w:rPr>
        <w:t>检验机构接收样品应当有专人负责检查、记录样品的外观、状态、封条有无破损及其他可能对检测结果或者综合判定产生影响的情况，并确认样品与抽样单的记录是否相符，对检测和备用样品分别加贴相应标识后入库。备用样品应该贮存在阴凉、干燥、安全、避光处，在整个保存期间应保证签封完整无损。</w:t>
      </w:r>
    </w:p>
    <w:p>
      <w:pPr>
        <w:widowControl/>
        <w:tabs>
          <w:tab w:val="center" w:pos="4479"/>
        </w:tabs>
        <w:spacing w:line="440" w:lineRule="exact"/>
        <w:jc w:val="left"/>
        <w:rPr>
          <w:rFonts w:ascii="宋体"/>
          <w:b/>
          <w:bCs/>
          <w:color w:val="auto"/>
        </w:rPr>
      </w:pPr>
      <w:r>
        <w:rPr>
          <w:rFonts w:ascii="宋体" w:hAnsi="宋体" w:cs="宋体"/>
          <w:b/>
          <w:bCs/>
          <w:color w:val="auto"/>
        </w:rPr>
        <w:t>8</w:t>
      </w:r>
      <w:r>
        <w:rPr>
          <w:rFonts w:hint="eastAsia" w:ascii="宋体" w:hAnsi="宋体" w:cs="宋体"/>
          <w:b/>
          <w:bCs/>
          <w:color w:val="auto"/>
        </w:rPr>
        <w:t>判定原则</w:t>
      </w:r>
      <w:r>
        <w:rPr>
          <w:rFonts w:ascii="宋体"/>
          <w:b/>
          <w:bCs/>
          <w:color w:val="auto"/>
        </w:rPr>
        <w:tab/>
      </w:r>
    </w:p>
    <w:p>
      <w:pPr>
        <w:widowControl/>
        <w:spacing w:line="440" w:lineRule="exact"/>
        <w:jc w:val="left"/>
        <w:rPr>
          <w:rFonts w:ascii="宋体"/>
          <w:color w:val="auto"/>
        </w:rPr>
      </w:pPr>
      <w:r>
        <w:rPr>
          <w:rFonts w:ascii="宋体" w:hAnsi="宋体" w:cs="宋体"/>
          <w:color w:val="auto"/>
        </w:rPr>
        <w:t xml:space="preserve">8.1 </w:t>
      </w:r>
      <w:r>
        <w:rPr>
          <w:rFonts w:hint="eastAsia" w:ascii="宋体" w:hAnsi="宋体" w:cs="宋体"/>
          <w:color w:val="auto"/>
        </w:rPr>
        <w:t>经检验，若被抽产品所有检验项目全部合格，检验报告中的检验结论表述为</w:t>
      </w:r>
      <w:r>
        <w:rPr>
          <w:rFonts w:ascii="宋体" w:hAnsi="宋体" w:cs="宋体"/>
          <w:color w:val="auto"/>
        </w:rPr>
        <w:t>:</w:t>
      </w:r>
      <w:r>
        <w:rPr>
          <w:rFonts w:hint="eastAsia" w:ascii="宋体" w:hAnsi="宋体" w:cs="宋体"/>
          <w:color w:val="auto"/>
        </w:rPr>
        <w:t>“依据桂市监函</w:t>
      </w:r>
      <w:r>
        <w:rPr>
          <w:rFonts w:ascii="宋体" w:hAnsi="宋体" w:cs="宋体"/>
          <w:color w:val="auto"/>
        </w:rPr>
        <w:t>[xxxx]xx</w:t>
      </w:r>
      <w:r>
        <w:rPr>
          <w:rFonts w:hint="eastAsia" w:ascii="宋体" w:hAnsi="宋体" w:cs="宋体"/>
          <w:color w:val="auto"/>
        </w:rPr>
        <w:t>号文中《</w:t>
      </w:r>
      <w:r>
        <w:rPr>
          <w:rFonts w:ascii="宋体" w:hAnsi="宋体" w:cs="宋体"/>
          <w:color w:val="auto"/>
        </w:rPr>
        <w:t>2020</w:t>
      </w:r>
      <w:r>
        <w:rPr>
          <w:rFonts w:hint="eastAsia" w:ascii="宋体" w:hAnsi="宋体" w:cs="宋体"/>
          <w:color w:val="auto"/>
        </w:rPr>
        <w:t>年输送带产品质量广西监督抽查实施细则》要求，对所抽样品的</w:t>
      </w:r>
      <w:r>
        <w:rPr>
          <w:rFonts w:ascii="宋体" w:hAnsi="宋体" w:cs="宋体"/>
          <w:color w:val="auto"/>
        </w:rPr>
        <w:t>X</w:t>
      </w:r>
      <w:r>
        <w:rPr>
          <w:rFonts w:hint="eastAsia" w:ascii="宋体" w:hAnsi="宋体" w:cs="宋体"/>
          <w:color w:val="auto"/>
        </w:rPr>
        <w:t>个项目进行了检验，检验结果符合</w:t>
      </w:r>
      <w:r>
        <w:rPr>
          <w:rFonts w:ascii="宋体" w:hAnsi="宋体" w:cs="宋体"/>
          <w:color w:val="auto"/>
        </w:rPr>
        <w:t>xxx</w:t>
      </w:r>
      <w:r>
        <w:rPr>
          <w:rFonts w:hint="eastAsia" w:ascii="宋体" w:hAnsi="宋体" w:cs="宋体"/>
          <w:color w:val="auto"/>
        </w:rPr>
        <w:t>（标准）的要求。综合判定：该产品本次监督抽查合格”。</w:t>
      </w:r>
    </w:p>
    <w:p>
      <w:pPr>
        <w:widowControl/>
        <w:spacing w:line="440" w:lineRule="exact"/>
        <w:jc w:val="left"/>
        <w:rPr>
          <w:rFonts w:ascii="宋体"/>
          <w:color w:val="auto"/>
        </w:rPr>
      </w:pPr>
      <w:r>
        <w:rPr>
          <w:rFonts w:ascii="宋体" w:hAnsi="宋体" w:cs="宋体"/>
          <w:color w:val="auto"/>
        </w:rPr>
        <w:t xml:space="preserve">8.2 </w:t>
      </w:r>
      <w:r>
        <w:rPr>
          <w:rFonts w:hint="eastAsia" w:ascii="宋体" w:hAnsi="宋体" w:cs="宋体"/>
          <w:color w:val="auto"/>
        </w:rPr>
        <w:t>经检验，若被抽产品有一项及以上不合格，检验报告中的检验结论表述为：“依据桂市监函</w:t>
      </w:r>
      <w:r>
        <w:rPr>
          <w:rFonts w:ascii="宋体" w:hAnsi="宋体" w:cs="宋体"/>
          <w:color w:val="auto"/>
        </w:rPr>
        <w:t>[xxxx]xx</w:t>
      </w:r>
      <w:r>
        <w:rPr>
          <w:rFonts w:hint="eastAsia" w:ascii="宋体" w:hAnsi="宋体" w:cs="宋体"/>
          <w:color w:val="auto"/>
        </w:rPr>
        <w:t>号文中《</w:t>
      </w:r>
      <w:r>
        <w:rPr>
          <w:rFonts w:ascii="宋体" w:hAnsi="宋体" w:cs="宋体"/>
          <w:color w:val="auto"/>
        </w:rPr>
        <w:t>2020</w:t>
      </w:r>
      <w:r>
        <w:rPr>
          <w:rFonts w:hint="eastAsia" w:ascii="宋体" w:hAnsi="宋体" w:cs="宋体"/>
          <w:color w:val="auto"/>
        </w:rPr>
        <w:t>年输送带产品质量广西监督抽查实施细则》要求，对所抽样品的</w:t>
      </w:r>
      <w:r>
        <w:rPr>
          <w:rFonts w:ascii="宋体" w:hAnsi="宋体" w:cs="宋体"/>
          <w:color w:val="auto"/>
        </w:rPr>
        <w:t>X</w:t>
      </w:r>
      <w:r>
        <w:rPr>
          <w:rFonts w:hint="eastAsia" w:ascii="宋体" w:hAnsi="宋体" w:cs="宋体"/>
          <w:color w:val="auto"/>
        </w:rPr>
        <w:t>个项目进行了检验，其中</w:t>
      </w:r>
      <w:r>
        <w:rPr>
          <w:rFonts w:ascii="宋体" w:hAnsi="宋体" w:cs="宋体"/>
          <w:color w:val="auto"/>
        </w:rPr>
        <w:t>xx</w:t>
      </w:r>
      <w:r>
        <w:rPr>
          <w:rFonts w:hint="eastAsia" w:ascii="宋体" w:hAnsi="宋体" w:cs="宋体"/>
          <w:color w:val="auto"/>
        </w:rPr>
        <w:t>项目的检验结果不符合</w:t>
      </w:r>
      <w:r>
        <w:rPr>
          <w:rFonts w:ascii="宋体" w:hAnsi="宋体" w:cs="宋体"/>
          <w:color w:val="auto"/>
        </w:rPr>
        <w:t>xxx</w:t>
      </w:r>
      <w:r>
        <w:rPr>
          <w:rFonts w:hint="eastAsia" w:ascii="宋体" w:hAnsi="宋体" w:cs="宋体"/>
          <w:color w:val="auto"/>
        </w:rPr>
        <w:t>（标准）的要求。综合判定：该产品本次监督抽查不合格”。</w:t>
      </w:r>
    </w:p>
    <w:p>
      <w:pPr>
        <w:snapToGrid w:val="0"/>
        <w:spacing w:line="360" w:lineRule="auto"/>
        <w:rPr>
          <w:rFonts w:ascii="宋体"/>
          <w:color w:val="auto"/>
          <w:kern w:val="0"/>
        </w:rPr>
      </w:pPr>
      <w:r>
        <w:rPr>
          <w:rFonts w:hint="eastAsia" w:ascii="宋体" w:hAnsi="宋体" w:cs="宋体"/>
          <w:color w:val="auto"/>
        </w:rPr>
        <w:t>注：若产品标准有推荐性国家标准或者行业标准，而企业执行自己的企业标准，若抽查项目在企业标准中规定又低于推荐性国家标准或行业标准，所检项目有一项或一项以上低于国家、行业、地方推荐性标准要求（含国家、行业、地方强制性标准中的推荐性条款）时，在使用企业标准作出合格或不合格结论的同时，在“备注”栏中说明</w:t>
      </w:r>
      <w:r>
        <w:rPr>
          <w:rFonts w:ascii="宋体" w:hAnsi="宋体" w:cs="宋体"/>
          <w:color w:val="auto"/>
        </w:rPr>
        <w:t>:</w:t>
      </w:r>
      <w:r>
        <w:rPr>
          <w:rFonts w:hint="eastAsia" w:ascii="宋体" w:hAnsi="宋体" w:cs="宋体"/>
          <w:color w:val="auto"/>
        </w:rPr>
        <w:t>该产品本次监督抽查检验符合</w:t>
      </w:r>
      <w:r>
        <w:rPr>
          <w:rFonts w:ascii="宋体" w:hAnsi="宋体" w:cs="宋体"/>
          <w:color w:val="auto"/>
        </w:rPr>
        <w:t>xx</w:t>
      </w:r>
      <w:r>
        <w:rPr>
          <w:rFonts w:hint="eastAsia" w:ascii="宋体" w:hAnsi="宋体" w:cs="宋体"/>
          <w:color w:val="auto"/>
        </w:rPr>
        <w:t>标准号《企业标准名称》要求，不符合</w:t>
      </w:r>
      <w:r>
        <w:rPr>
          <w:rFonts w:ascii="宋体" w:hAnsi="宋体" w:cs="宋体"/>
          <w:color w:val="auto"/>
        </w:rPr>
        <w:t>xx</w:t>
      </w:r>
      <w:r>
        <w:rPr>
          <w:rFonts w:hint="eastAsia" w:ascii="宋体" w:hAnsi="宋体" w:cs="宋体"/>
          <w:color w:val="auto"/>
        </w:rPr>
        <w:t>标准号《国家（行业、地方）标准名称》要求。</w:t>
      </w:r>
    </w:p>
    <w:p>
      <w:pPr>
        <w:widowControl/>
        <w:spacing w:line="360" w:lineRule="auto"/>
        <w:jc w:val="left"/>
        <w:rPr>
          <w:rFonts w:ascii="宋体"/>
          <w:b/>
          <w:bCs/>
          <w:color w:val="auto"/>
        </w:rPr>
      </w:pPr>
      <w:r>
        <w:rPr>
          <w:rFonts w:ascii="宋体" w:hAnsi="宋体" w:cs="宋体"/>
          <w:b/>
          <w:bCs/>
          <w:color w:val="auto"/>
        </w:rPr>
        <w:t>9</w:t>
      </w:r>
      <w:r>
        <w:rPr>
          <w:rFonts w:hint="eastAsia" w:ascii="宋体" w:hAnsi="宋体" w:cs="宋体"/>
          <w:b/>
          <w:bCs/>
          <w:color w:val="auto"/>
        </w:rPr>
        <w:t>异议处理</w:t>
      </w:r>
    </w:p>
    <w:p>
      <w:pPr>
        <w:widowControl/>
        <w:spacing w:line="440" w:lineRule="exact"/>
        <w:ind w:firstLine="420" w:firstLineChars="200"/>
        <w:jc w:val="left"/>
        <w:rPr>
          <w:rFonts w:ascii="宋体"/>
          <w:color w:val="auto"/>
        </w:rPr>
      </w:pPr>
      <w:r>
        <w:rPr>
          <w:rFonts w:hint="eastAsia" w:ascii="宋体" w:hAnsi="宋体" w:cs="宋体"/>
          <w:color w:val="auto"/>
        </w:rPr>
        <w:t>对判定不合格产品进行复检时，按以下方式进行：</w:t>
      </w:r>
    </w:p>
    <w:p>
      <w:pPr>
        <w:widowControl/>
        <w:spacing w:line="440" w:lineRule="exact"/>
        <w:jc w:val="left"/>
        <w:rPr>
          <w:rFonts w:ascii="宋体"/>
          <w:color w:val="auto"/>
        </w:rPr>
      </w:pPr>
      <w:r>
        <w:rPr>
          <w:rFonts w:ascii="宋体" w:hAnsi="宋体" w:cs="宋体"/>
          <w:color w:val="auto"/>
        </w:rPr>
        <w:t xml:space="preserve">9.1 </w:t>
      </w:r>
      <w:r>
        <w:rPr>
          <w:rFonts w:hint="eastAsia" w:ascii="宋体" w:hAnsi="宋体" w:cs="宋体"/>
          <w:color w:val="auto"/>
        </w:rPr>
        <w:t>核查不合格项目相关证据，能够以记录（纸质记录或电子记录或影像记录）或与不合格项目相关联的其它质量数据等检验证据证明。</w:t>
      </w:r>
    </w:p>
    <w:p>
      <w:pPr>
        <w:widowControl/>
        <w:spacing w:line="440" w:lineRule="exact"/>
        <w:jc w:val="left"/>
        <w:rPr>
          <w:rFonts w:ascii="宋体"/>
          <w:color w:val="auto"/>
          <w:kern w:val="0"/>
        </w:rPr>
      </w:pPr>
      <w:r>
        <w:rPr>
          <w:rFonts w:ascii="宋体" w:hAnsi="宋体" w:cs="宋体"/>
          <w:color w:val="auto"/>
        </w:rPr>
        <w:t>9.2</w:t>
      </w:r>
      <w:r>
        <w:rPr>
          <w:rFonts w:hint="eastAsia" w:ascii="宋体" w:hAnsi="宋体" w:cs="宋体"/>
          <w:color w:val="auto"/>
        </w:rPr>
        <w:t>对需要复检并具备检验条件的，处理企业异议的市场监督管理部门按照《产品质量监督抽查暂行管理办法》要求组织复检机构对抽取的备用样品进行复检，并出具检验报告。</w:t>
      </w:r>
      <w:r>
        <w:rPr>
          <w:rFonts w:hint="eastAsia" w:ascii="宋体" w:hAnsi="宋体" w:cs="宋体"/>
          <w:color w:val="auto"/>
          <w:kern w:val="0"/>
        </w:rPr>
        <w:t>复检结论为最终结论。</w:t>
      </w:r>
    </w:p>
    <w:p>
      <w:pPr>
        <w:widowControl/>
        <w:spacing w:line="440" w:lineRule="exact"/>
        <w:jc w:val="left"/>
        <w:rPr>
          <w:rFonts w:ascii="宋体"/>
          <w:b/>
          <w:bCs/>
          <w:color w:val="auto"/>
        </w:rPr>
      </w:pPr>
      <w:r>
        <w:rPr>
          <w:rFonts w:ascii="宋体" w:hAnsi="宋体" w:cs="宋体"/>
          <w:b/>
          <w:bCs/>
          <w:color w:val="auto"/>
        </w:rPr>
        <w:t xml:space="preserve">10  </w:t>
      </w:r>
      <w:r>
        <w:rPr>
          <w:rFonts w:hint="eastAsia" w:ascii="宋体" w:hAnsi="宋体" w:cs="宋体"/>
          <w:b/>
          <w:bCs/>
          <w:color w:val="auto"/>
        </w:rPr>
        <w:t>附则</w:t>
      </w:r>
    </w:p>
    <w:p>
      <w:pPr>
        <w:widowControl/>
        <w:spacing w:line="440" w:lineRule="exact"/>
        <w:jc w:val="left"/>
        <w:rPr>
          <w:rFonts w:ascii="宋体"/>
          <w:color w:val="auto"/>
        </w:rPr>
      </w:pPr>
      <w:r>
        <w:rPr>
          <w:rFonts w:ascii="宋体" w:hAnsi="宋体" w:cs="宋体"/>
          <w:color w:val="auto"/>
        </w:rPr>
        <w:t xml:space="preserve">    </w:t>
      </w:r>
      <w:r>
        <w:rPr>
          <w:rFonts w:hint="eastAsia" w:ascii="宋体" w:hAnsi="宋体" w:cs="宋体"/>
          <w:color w:val="auto"/>
        </w:rPr>
        <w:t>本细则编写单位：桂林市产品质量检验所。</w:t>
      </w:r>
    </w:p>
    <w:p>
      <w:pPr>
        <w:snapToGrid w:val="0"/>
        <w:spacing w:line="440" w:lineRule="exact"/>
        <w:ind w:firstLine="420"/>
        <w:jc w:val="left"/>
        <w:rPr>
          <w:color w:val="auto"/>
        </w:rPr>
      </w:pPr>
      <w:r>
        <w:rPr>
          <w:rFonts w:hint="eastAsia" w:cs="宋体"/>
          <w:color w:val="auto"/>
        </w:rPr>
        <w:t>本细则由广西壮族自治区市场监督管理局产品质量安全监督管理处</w:t>
      </w:r>
      <w:r>
        <w:rPr>
          <w:rFonts w:hint="eastAsia" w:ascii="宋体" w:hAnsi="宋体"/>
          <w:szCs w:val="21"/>
        </w:rPr>
        <w:t>（食品安全抽检监测处）</w:t>
      </w:r>
      <w:r>
        <w:rPr>
          <w:rFonts w:hint="eastAsia" w:cs="宋体"/>
          <w:color w:val="auto"/>
        </w:rPr>
        <w:t>管理。</w:t>
      </w:r>
    </w:p>
    <w:p>
      <w:pPr>
        <w:rPr>
          <w:color w:val="auto"/>
        </w:rPr>
      </w:pPr>
    </w:p>
    <w:sectPr>
      <w:footerReference r:id="rId3" w:type="default"/>
      <w:pgSz w:w="11906" w:h="16838"/>
      <w:pgMar w:top="1701" w:right="1474" w:bottom="1474" w:left="1587" w:header="851" w:footer="992" w:gutter="0"/>
      <w:paperSrc/>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w:pict>
        <v:shape id="_x0000_s4097" o:spid="_x0000_s4097" o:spt="202" type="#_x0000_t202" style="position:absolute;left:0pt;margin-top:0pt;height:144pt;width:144pt;mso-position-horizontal:right;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2"/>
                  <w:rPr>
                    <w:rFonts w:hint="eastAsia" w:eastAsia="宋体"/>
                    <w:lang w:eastAsia="zh-CN"/>
                  </w:rPr>
                </w:pPr>
                <w:r>
                  <w:rPr>
                    <w:rFonts w:hint="eastAsia"/>
                    <w:lang w:eastAsia="zh-CN"/>
                  </w:rPr>
                  <w:t xml:space="preserve">—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w:t>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layout v:ext="edit">
      <o:idmap v:ext="edit" data="3,4"/>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33957"/>
    <w:rsid w:val="00092BA7"/>
    <w:rsid w:val="00333957"/>
    <w:rsid w:val="0044350A"/>
    <w:rsid w:val="004E3C25"/>
    <w:rsid w:val="005C32F8"/>
    <w:rsid w:val="00745892"/>
    <w:rsid w:val="00EB5A5A"/>
    <w:rsid w:val="00F447D1"/>
    <w:rsid w:val="22C9510B"/>
    <w:rsid w:val="2FC604A5"/>
    <w:rsid w:val="52BE2BA8"/>
    <w:rsid w:val="5AFD7ADD"/>
    <w:rsid w:val="6E38769B"/>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6">
    <w:name w:val="Default Paragraph Font"/>
    <w:semiHidden/>
    <w:uiPriority w:val="99"/>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semiHidden/>
    <w:unhideWhenUsed/>
    <w:uiPriority w:val="99"/>
    <w:pPr>
      <w:tabs>
        <w:tab w:val="center" w:pos="4153"/>
        <w:tab w:val="right" w:pos="8306"/>
      </w:tabs>
      <w:snapToGrid w:val="0"/>
      <w:jc w:val="left"/>
    </w:pPr>
    <w:rPr>
      <w:sz w:val="18"/>
    </w:rPr>
  </w:style>
  <w:style w:type="paragraph" w:styleId="3">
    <w:name w:val="header"/>
    <w:basedOn w:val="1"/>
    <w:semiHidden/>
    <w:unhideWhenUsed/>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uiPriority w:val="99"/>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Lenovo</Company>
  <Pages>6</Pages>
  <Words>700</Words>
  <Characters>3990</Characters>
  <Lines>0</Lines>
  <Paragraphs>0</Paragraphs>
  <TotalTime>0</TotalTime>
  <ScaleCrop>false</ScaleCrop>
  <LinksUpToDate>false</LinksUpToDate>
  <CharactersWithSpaces>0</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2020-05-22T06:33:00Z</dcterms:created>
  <dc:creator>Administrator</dc:creator>
  <cp:lastModifiedBy>黄飞雪</cp:lastModifiedBy>
  <dcterms:modified xsi:type="dcterms:W3CDTF">2020-06-01T00:29:22Z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