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color w:val="auto"/>
          <w:sz w:val="32"/>
          <w:szCs w:val="32"/>
        </w:rPr>
      </w:pPr>
      <w:r>
        <w:rPr>
          <w:rFonts w:hint="eastAsia" w:ascii="方正小标宋_GBK" w:hAnsi="方正小标宋_GBK" w:eastAsia="方正小标宋_GBK" w:cs="方正小标宋_GBK"/>
          <w:color w:val="auto"/>
          <w:sz w:val="32"/>
          <w:szCs w:val="32"/>
        </w:rPr>
        <w:t>20</w:t>
      </w:r>
      <w:r>
        <w:rPr>
          <w:rFonts w:hint="eastAsia" w:ascii="方正小标宋_GBK" w:hAnsi="方正小标宋_GBK" w:eastAsia="方正小标宋_GBK" w:cs="方正小标宋_GBK"/>
          <w:color w:val="auto"/>
          <w:sz w:val="32"/>
          <w:szCs w:val="32"/>
        </w:rPr>
        <w:t>20</w:t>
      </w:r>
      <w:r>
        <w:rPr>
          <w:rFonts w:hint="eastAsia" w:ascii="方正小标宋_GBK" w:hAnsi="方正小标宋_GBK" w:eastAsia="方正小标宋_GBK" w:cs="方正小标宋_GBK"/>
          <w:color w:val="auto"/>
          <w:sz w:val="32"/>
          <w:szCs w:val="32"/>
        </w:rPr>
        <w:t>年</w:t>
      </w:r>
      <w:r>
        <w:rPr>
          <w:rFonts w:hint="eastAsia" w:ascii="方正小标宋_GBK" w:hAnsi="方正小标宋_GBK" w:eastAsia="方正小标宋_GBK" w:cs="方正小标宋_GBK"/>
          <w:color w:val="auto"/>
          <w:sz w:val="32"/>
          <w:szCs w:val="32"/>
        </w:rPr>
        <w:t>奶嘴</w:t>
      </w:r>
      <w:r>
        <w:rPr>
          <w:rFonts w:hint="eastAsia" w:ascii="方正小标宋_GBK" w:hAnsi="方正小标宋_GBK" w:eastAsia="方正小标宋_GBK" w:cs="方正小标宋_GBK"/>
          <w:color w:val="auto"/>
          <w:sz w:val="32"/>
          <w:szCs w:val="32"/>
        </w:rPr>
        <w:t>产品质量广西监督抽查</w:t>
      </w:r>
      <w:r>
        <w:rPr>
          <w:rFonts w:hint="eastAsia" w:ascii="方正小标宋_GBK" w:hAnsi="方正小标宋_GBK" w:eastAsia="方正小标宋_GBK" w:cs="方正小标宋_GBK"/>
          <w:color w:val="auto"/>
          <w:sz w:val="32"/>
          <w:szCs w:val="32"/>
        </w:rPr>
        <w:t>实施细则</w:t>
      </w:r>
    </w:p>
    <w:p>
      <w:pPr>
        <w:snapToGrid w:val="0"/>
        <w:spacing w:line="440" w:lineRule="exact"/>
        <w:rPr>
          <w:rFonts w:hint="eastAsia" w:ascii="黑体" w:hAnsi="宋体" w:eastAsia="黑体"/>
          <w:b/>
          <w:color w:val="auto"/>
          <w:szCs w:val="21"/>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1范围</w:t>
      </w:r>
    </w:p>
    <w:p>
      <w:pPr>
        <w:snapToGrid w:val="0"/>
        <w:spacing w:before="78" w:beforeLines="25" w:after="78" w:afterLines="25" w:line="440" w:lineRule="exact"/>
        <w:ind w:firstLine="420" w:firstLineChars="200"/>
        <w:rPr>
          <w:rFonts w:ascii="宋体" w:hAnsi="宋体" w:cs="Sim Sun"/>
          <w:color w:val="auto"/>
          <w:kern w:val="0"/>
          <w:szCs w:val="21"/>
        </w:rPr>
      </w:pPr>
      <w:r>
        <w:rPr>
          <w:rFonts w:hint="eastAsia" w:ascii="宋体" w:hAnsi="宋体" w:cs="Sim Sun"/>
          <w:color w:val="auto"/>
          <w:kern w:val="0"/>
          <w:szCs w:val="21"/>
        </w:rPr>
        <w:t>本细则适用于</w:t>
      </w:r>
      <w:r>
        <w:rPr>
          <w:rFonts w:ascii="宋体" w:hAnsi="宋体" w:cs="Sim Sun"/>
          <w:color w:val="auto"/>
          <w:kern w:val="0"/>
          <w:szCs w:val="21"/>
        </w:rPr>
        <w:t>20</w:t>
      </w:r>
      <w:r>
        <w:rPr>
          <w:rFonts w:hint="eastAsia" w:ascii="宋体" w:hAnsi="宋体" w:cs="Sim Sun"/>
          <w:color w:val="auto"/>
          <w:kern w:val="0"/>
          <w:szCs w:val="21"/>
        </w:rPr>
        <w:t>20</w:t>
      </w:r>
      <w:r>
        <w:rPr>
          <w:rFonts w:ascii="宋体" w:hAnsi="宋体" w:cs="Sim Sun"/>
          <w:color w:val="auto"/>
          <w:kern w:val="0"/>
          <w:szCs w:val="21"/>
        </w:rPr>
        <w:t>年</w:t>
      </w:r>
      <w:r>
        <w:rPr>
          <w:rFonts w:hint="eastAsia" w:ascii="宋体" w:hAnsi="宋体" w:cs="Sim Sun"/>
          <w:color w:val="auto"/>
          <w:kern w:val="0"/>
          <w:szCs w:val="21"/>
        </w:rPr>
        <w:t>奶嘴</w:t>
      </w:r>
      <w:r>
        <w:rPr>
          <w:rFonts w:ascii="宋体" w:hAnsi="宋体" w:cs="Sim Sun"/>
          <w:color w:val="auto"/>
          <w:kern w:val="0"/>
          <w:szCs w:val="21"/>
        </w:rPr>
        <w:t>产品质量</w:t>
      </w:r>
      <w:r>
        <w:rPr>
          <w:rFonts w:hint="eastAsia" w:ascii="宋体" w:hAnsi="宋体" w:cs="Sim Sun"/>
          <w:color w:val="auto"/>
          <w:kern w:val="0"/>
          <w:szCs w:val="21"/>
        </w:rPr>
        <w:t>广西流通领域监督抽查，针对特殊情况的广西监督专项抽查、县级以上地方市场监管部门组织的地方监督抽查可参照执行。监督抽查产品范围：适用于以天然橡胶、顺式-1,4-聚异戊二烯橡胶、硅橡胶为主要原料加工制成的奶嘴，不适用于安抚奶嘴。本细则内容包括产品分类、术语和定义、企业规模划分、检验依据、抽样、检验要求、判定原则、异议处理及附则。</w:t>
      </w:r>
    </w:p>
    <w:p>
      <w:pPr>
        <w:snapToGrid w:val="0"/>
        <w:spacing w:line="440" w:lineRule="exact"/>
        <w:rPr>
          <w:rFonts w:ascii="黑体" w:hAnsi="宋体" w:eastAsia="黑体"/>
          <w:b/>
          <w:color w:val="auto"/>
          <w:szCs w:val="21"/>
        </w:rPr>
      </w:pPr>
      <w:r>
        <w:rPr>
          <w:rFonts w:hint="eastAsia" w:ascii="黑体" w:hAnsi="宋体" w:eastAsia="黑体"/>
          <w:b/>
          <w:color w:val="auto"/>
          <w:szCs w:val="21"/>
        </w:rPr>
        <w:t>2产品分类</w:t>
      </w:r>
    </w:p>
    <w:p>
      <w:pPr>
        <w:snapToGrid w:val="0"/>
        <w:spacing w:line="440" w:lineRule="exact"/>
        <w:rPr>
          <w:rFonts w:ascii="宋体" w:hAnsi="宋体"/>
          <w:color w:val="auto"/>
          <w:szCs w:val="21"/>
        </w:rPr>
      </w:pPr>
      <w:r>
        <w:rPr>
          <w:rFonts w:hint="eastAsia" w:ascii="宋体" w:hAnsi="宋体"/>
          <w:color w:val="auto"/>
          <w:szCs w:val="21"/>
        </w:rPr>
        <w:t>2.1产品分类及代码见表1。</w:t>
      </w:r>
    </w:p>
    <w:p>
      <w:pPr>
        <w:snapToGrid w:val="0"/>
        <w:spacing w:line="440" w:lineRule="exact"/>
        <w:jc w:val="center"/>
        <w:rPr>
          <w:rFonts w:ascii="宋体" w:hAnsi="宋体"/>
          <w:color w:val="auto"/>
          <w:szCs w:val="21"/>
        </w:rPr>
      </w:pPr>
      <w:r>
        <w:rPr>
          <w:rFonts w:hint="eastAsia" w:ascii="宋体" w:hAnsi="宋体"/>
          <w:color w:val="auto"/>
          <w:szCs w:val="21"/>
        </w:rPr>
        <w:t xml:space="preserve">表1  </w:t>
      </w:r>
      <w:r>
        <w:rPr>
          <w:rFonts w:hint="eastAsia" w:ascii="宋体" w:hAnsi="宋体" w:cs="Sim Sun"/>
          <w:color w:val="auto"/>
          <w:kern w:val="0"/>
          <w:szCs w:val="21"/>
        </w:rPr>
        <w:t>奶嘴</w:t>
      </w:r>
      <w:r>
        <w:rPr>
          <w:rFonts w:hint="eastAsia" w:ascii="宋体" w:hAnsi="宋体"/>
          <w:color w:val="auto"/>
          <w:szCs w:val="21"/>
        </w:rPr>
        <w:t>产品分类及代码</w:t>
      </w:r>
    </w:p>
    <w:tbl>
      <w:tblPr>
        <w:tblStyle w:val="6"/>
        <w:tblW w:w="87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2479"/>
        <w:gridCol w:w="2479"/>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0" w:type="dxa"/>
            <w:vAlign w:val="center"/>
          </w:tcPr>
          <w:p>
            <w:pPr>
              <w:snapToGrid w:val="0"/>
              <w:jc w:val="center"/>
              <w:rPr>
                <w:rFonts w:ascii="宋体" w:hAnsi="宋体"/>
                <w:b/>
                <w:color w:val="auto"/>
                <w:szCs w:val="21"/>
              </w:rPr>
            </w:pPr>
            <w:r>
              <w:rPr>
                <w:rFonts w:hint="eastAsia" w:ascii="宋体" w:hAnsi="宋体"/>
                <w:b/>
                <w:color w:val="auto"/>
                <w:szCs w:val="21"/>
              </w:rPr>
              <w:t>产品分类</w:t>
            </w:r>
          </w:p>
        </w:tc>
        <w:tc>
          <w:tcPr>
            <w:tcW w:w="2479" w:type="dxa"/>
            <w:vAlign w:val="center"/>
          </w:tcPr>
          <w:p>
            <w:pPr>
              <w:snapToGrid w:val="0"/>
              <w:jc w:val="center"/>
              <w:rPr>
                <w:rFonts w:ascii="宋体" w:hAnsi="宋体"/>
                <w:b/>
                <w:color w:val="auto"/>
                <w:szCs w:val="21"/>
              </w:rPr>
            </w:pPr>
            <w:r>
              <w:rPr>
                <w:rFonts w:hint="eastAsia" w:ascii="宋体" w:hAnsi="宋体"/>
                <w:b/>
                <w:color w:val="auto"/>
                <w:szCs w:val="21"/>
              </w:rPr>
              <w:t>一级分类</w:t>
            </w:r>
          </w:p>
        </w:tc>
        <w:tc>
          <w:tcPr>
            <w:tcW w:w="2479" w:type="dxa"/>
            <w:vAlign w:val="center"/>
          </w:tcPr>
          <w:p>
            <w:pPr>
              <w:snapToGrid w:val="0"/>
              <w:jc w:val="center"/>
              <w:rPr>
                <w:rFonts w:ascii="宋体" w:hAnsi="宋体"/>
                <w:b/>
                <w:color w:val="auto"/>
                <w:szCs w:val="21"/>
              </w:rPr>
            </w:pPr>
            <w:r>
              <w:rPr>
                <w:rFonts w:hint="eastAsia" w:ascii="宋体" w:hAnsi="宋体"/>
                <w:b/>
                <w:color w:val="auto"/>
                <w:szCs w:val="21"/>
              </w:rPr>
              <w:t>二级分类</w:t>
            </w:r>
          </w:p>
        </w:tc>
        <w:tc>
          <w:tcPr>
            <w:tcW w:w="2180" w:type="dxa"/>
            <w:vAlign w:val="center"/>
          </w:tcPr>
          <w:p>
            <w:pPr>
              <w:snapToGrid w:val="0"/>
              <w:jc w:val="center"/>
              <w:rPr>
                <w:rFonts w:ascii="宋体" w:hAnsi="宋体"/>
                <w:b/>
                <w:color w:val="auto"/>
                <w:szCs w:val="21"/>
              </w:rPr>
            </w:pPr>
            <w:r>
              <w:rPr>
                <w:rFonts w:hint="eastAsia" w:ascii="宋体" w:hAnsi="宋体"/>
                <w:b/>
                <w:color w:val="auto"/>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0" w:type="dxa"/>
            <w:vAlign w:val="center"/>
          </w:tcPr>
          <w:p>
            <w:pPr>
              <w:snapToGrid w:val="0"/>
              <w:jc w:val="center"/>
              <w:rPr>
                <w:rFonts w:ascii="宋体" w:hAnsi="宋体"/>
                <w:color w:val="auto"/>
                <w:szCs w:val="21"/>
              </w:rPr>
            </w:pPr>
            <w:r>
              <w:rPr>
                <w:rFonts w:hint="eastAsia" w:ascii="宋体" w:hAnsi="宋体"/>
                <w:color w:val="auto"/>
                <w:szCs w:val="21"/>
              </w:rPr>
              <w:t>分类代码</w:t>
            </w:r>
          </w:p>
        </w:tc>
        <w:tc>
          <w:tcPr>
            <w:tcW w:w="2479" w:type="dxa"/>
            <w:vAlign w:val="center"/>
          </w:tcPr>
          <w:p>
            <w:pPr>
              <w:snapToGrid w:val="0"/>
              <w:jc w:val="center"/>
              <w:rPr>
                <w:rFonts w:ascii="宋体" w:hAnsi="宋体"/>
                <w:color w:val="auto"/>
                <w:szCs w:val="21"/>
              </w:rPr>
            </w:pPr>
            <w:r>
              <w:rPr>
                <w:rFonts w:hint="eastAsia" w:ascii="宋体" w:hAnsi="宋体"/>
                <w:color w:val="auto"/>
                <w:szCs w:val="21"/>
              </w:rPr>
              <w:t>8</w:t>
            </w:r>
          </w:p>
        </w:tc>
        <w:tc>
          <w:tcPr>
            <w:tcW w:w="2479" w:type="dxa"/>
            <w:vAlign w:val="center"/>
          </w:tcPr>
          <w:p>
            <w:pPr>
              <w:snapToGrid w:val="0"/>
              <w:jc w:val="center"/>
              <w:rPr>
                <w:rFonts w:ascii="宋体" w:hAnsi="宋体"/>
                <w:color w:val="auto"/>
                <w:szCs w:val="21"/>
              </w:rPr>
            </w:pPr>
            <w:r>
              <w:rPr>
                <w:rFonts w:hint="eastAsia" w:ascii="宋体" w:hAnsi="宋体"/>
                <w:color w:val="auto"/>
                <w:szCs w:val="21"/>
              </w:rPr>
              <w:t>8</w:t>
            </w:r>
            <w:r>
              <w:rPr>
                <w:rFonts w:ascii="宋体" w:hAnsi="宋体"/>
                <w:color w:val="auto"/>
                <w:szCs w:val="21"/>
              </w:rPr>
              <w:t>01</w:t>
            </w:r>
          </w:p>
        </w:tc>
        <w:tc>
          <w:tcPr>
            <w:tcW w:w="2180" w:type="dxa"/>
            <w:vAlign w:val="center"/>
          </w:tcPr>
          <w:p>
            <w:pPr>
              <w:snapToGrid w:val="0"/>
              <w:jc w:val="center"/>
              <w:rPr>
                <w:rFonts w:ascii="宋体" w:hAnsi="宋体"/>
                <w:color w:val="auto"/>
                <w:szCs w:val="21"/>
              </w:rPr>
            </w:pPr>
            <w:r>
              <w:rPr>
                <w:rFonts w:hint="eastAsia" w:ascii="宋体" w:hAnsi="宋体"/>
                <w:color w:val="auto"/>
                <w:szCs w:val="21"/>
              </w:rPr>
              <w:t>8</w:t>
            </w:r>
            <w:r>
              <w:rPr>
                <w:rFonts w:ascii="宋体" w:hAnsi="宋体"/>
                <w:color w:val="auto"/>
                <w:szCs w:val="21"/>
              </w:rP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570" w:type="dxa"/>
            <w:vAlign w:val="center"/>
          </w:tcPr>
          <w:p>
            <w:pPr>
              <w:snapToGrid w:val="0"/>
              <w:jc w:val="center"/>
              <w:rPr>
                <w:rFonts w:ascii="宋体" w:hAnsi="宋体"/>
                <w:color w:val="auto"/>
                <w:szCs w:val="21"/>
              </w:rPr>
            </w:pPr>
            <w:r>
              <w:rPr>
                <w:rFonts w:hint="eastAsia" w:ascii="宋体" w:hAnsi="宋体"/>
                <w:color w:val="auto"/>
                <w:szCs w:val="21"/>
              </w:rPr>
              <w:t>分类名称</w:t>
            </w:r>
          </w:p>
        </w:tc>
        <w:tc>
          <w:tcPr>
            <w:tcW w:w="2479" w:type="dxa"/>
            <w:vAlign w:val="center"/>
          </w:tcPr>
          <w:p>
            <w:pPr>
              <w:snapToGrid w:val="0"/>
              <w:jc w:val="center"/>
              <w:rPr>
                <w:rFonts w:ascii="宋体" w:hAnsi="宋体"/>
                <w:color w:val="auto"/>
                <w:szCs w:val="21"/>
              </w:rPr>
            </w:pPr>
            <w:r>
              <w:rPr>
                <w:rFonts w:hint="eastAsia"/>
                <w:color w:val="auto"/>
              </w:rPr>
              <w:t>食品相关产品</w:t>
            </w:r>
          </w:p>
        </w:tc>
        <w:tc>
          <w:tcPr>
            <w:tcW w:w="2479" w:type="dxa"/>
            <w:vAlign w:val="center"/>
          </w:tcPr>
          <w:p>
            <w:pPr>
              <w:snapToGrid w:val="0"/>
              <w:jc w:val="center"/>
              <w:rPr>
                <w:rFonts w:ascii="宋体" w:hAnsi="宋体"/>
                <w:color w:val="auto"/>
                <w:szCs w:val="21"/>
              </w:rPr>
            </w:pPr>
            <w:r>
              <w:rPr>
                <w:rFonts w:hint="eastAsia" w:ascii="宋体" w:hAnsi="宋体"/>
                <w:color w:val="auto"/>
                <w:szCs w:val="21"/>
              </w:rPr>
              <w:t>橡胶材质食品相关产品</w:t>
            </w:r>
          </w:p>
        </w:tc>
        <w:tc>
          <w:tcPr>
            <w:tcW w:w="2180" w:type="dxa"/>
            <w:vAlign w:val="center"/>
          </w:tcPr>
          <w:p>
            <w:pPr>
              <w:snapToGrid w:val="0"/>
              <w:jc w:val="center"/>
              <w:rPr>
                <w:rFonts w:ascii="宋体" w:hAnsi="宋体"/>
                <w:color w:val="auto"/>
                <w:szCs w:val="21"/>
              </w:rPr>
            </w:pPr>
            <w:r>
              <w:rPr>
                <w:rFonts w:hint="eastAsia" w:ascii="宋体" w:hAnsi="宋体"/>
                <w:color w:val="auto"/>
                <w:szCs w:val="21"/>
              </w:rPr>
              <w:t>奶嘴</w:t>
            </w:r>
          </w:p>
        </w:tc>
      </w:tr>
    </w:tbl>
    <w:p>
      <w:pPr>
        <w:snapToGrid w:val="0"/>
        <w:spacing w:before="78" w:beforeLines="25" w:line="440" w:lineRule="exact"/>
        <w:rPr>
          <w:rFonts w:ascii="宋体" w:hAnsi="宋体"/>
          <w:color w:val="auto"/>
        </w:rPr>
      </w:pPr>
      <w:r>
        <w:rPr>
          <w:rFonts w:hint="eastAsia" w:ascii="宋体" w:hAnsi="宋体"/>
          <w:color w:val="auto"/>
          <w:szCs w:val="21"/>
        </w:rPr>
        <w:t>2.2</w:t>
      </w:r>
      <w:r>
        <w:rPr>
          <w:rFonts w:hint="eastAsia" w:ascii="宋体" w:hAnsi="宋体"/>
          <w:color w:val="auto"/>
        </w:rPr>
        <w:t>产品种类</w:t>
      </w:r>
    </w:p>
    <w:p>
      <w:pPr>
        <w:snapToGrid w:val="0"/>
        <w:spacing w:line="440" w:lineRule="exact"/>
        <w:ind w:firstLine="420" w:firstLineChars="200"/>
        <w:rPr>
          <w:rFonts w:ascii="宋体" w:hAnsi="宋体" w:cs="Sim Sun"/>
          <w:color w:val="auto"/>
          <w:kern w:val="0"/>
          <w:szCs w:val="21"/>
        </w:rPr>
      </w:pPr>
      <w:r>
        <w:rPr>
          <w:rFonts w:hint="eastAsia" w:ascii="宋体" w:hAnsi="宋体" w:cs="Sim Sun"/>
          <w:color w:val="auto"/>
          <w:kern w:val="0"/>
          <w:szCs w:val="21"/>
        </w:rPr>
        <w:t>奶嘴以天然橡胶、顺式-1,4-聚异戊二烯橡胶、硅橡胶为主要原料加工制成的奶嘴。除去天然橡胶、顺式-1,4-聚异戊二烯橡胶、硅橡胶外，其他橡胶不得用于生产奶嘴。本细则不适用于安抚奶嘴。</w:t>
      </w:r>
    </w:p>
    <w:p>
      <w:pPr>
        <w:snapToGrid w:val="0"/>
        <w:spacing w:line="440" w:lineRule="exact"/>
        <w:rPr>
          <w:rFonts w:ascii="黑体" w:hAnsi="宋体" w:eastAsia="黑体"/>
          <w:b/>
          <w:color w:val="auto"/>
          <w:szCs w:val="21"/>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3术语和定义</w:t>
      </w:r>
    </w:p>
    <w:p>
      <w:pPr>
        <w:pStyle w:val="9"/>
        <w:snapToGrid w:val="0"/>
        <w:spacing w:line="440" w:lineRule="exact"/>
        <w:rPr>
          <w:rFonts w:ascii="宋体" w:hAnsi="宋体"/>
          <w:color w:val="auto"/>
          <w:szCs w:val="21"/>
        </w:rPr>
      </w:pPr>
      <w:r>
        <w:rPr>
          <w:rFonts w:hint="eastAsia" w:ascii="宋体" w:hAnsi="宋体"/>
          <w:color w:val="auto"/>
          <w:szCs w:val="21"/>
        </w:rPr>
        <w:t>本规范中未列出的术语和定义同相关引用标准。</w:t>
      </w:r>
    </w:p>
    <w:p>
      <w:pPr>
        <w:snapToGrid w:val="0"/>
        <w:spacing w:line="440" w:lineRule="exact"/>
        <w:rPr>
          <w:rFonts w:ascii="黑体" w:hAnsi="宋体" w:eastAsia="黑体"/>
          <w:b/>
          <w:color w:val="auto"/>
          <w:szCs w:val="21"/>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4企业规模划分</w:t>
      </w:r>
    </w:p>
    <w:p>
      <w:pPr>
        <w:snapToGrid w:val="0"/>
        <w:spacing w:line="440" w:lineRule="exact"/>
        <w:ind w:firstLine="420" w:firstLineChars="200"/>
        <w:rPr>
          <w:rFonts w:ascii="宋体"/>
          <w:color w:val="auto"/>
          <w:szCs w:val="21"/>
        </w:rPr>
      </w:pPr>
      <w:r>
        <w:rPr>
          <w:rFonts w:hint="eastAsia" w:ascii="宋体" w:hAnsi="宋体"/>
          <w:color w:val="auto"/>
          <w:szCs w:val="21"/>
        </w:rPr>
        <w:t>按照国家统计局《统计上大中小微型企业划分办法》划分。</w:t>
      </w:r>
    </w:p>
    <w:p>
      <w:pPr>
        <w:snapToGrid w:val="0"/>
        <w:spacing w:line="440" w:lineRule="exact"/>
        <w:jc w:val="center"/>
        <w:rPr>
          <w:rFonts w:ascii="宋体"/>
          <w:color w:val="auto"/>
          <w:szCs w:val="21"/>
        </w:rPr>
      </w:pPr>
      <w:r>
        <w:rPr>
          <w:rFonts w:hint="eastAsia" w:ascii="宋体" w:hAnsi="宋体"/>
          <w:color w:val="auto"/>
          <w:szCs w:val="21"/>
        </w:rPr>
        <w:t>表2企业生产规模划分方法</w:t>
      </w:r>
    </w:p>
    <w:tbl>
      <w:tblPr>
        <w:tblStyle w:val="6"/>
        <w:tblW w:w="8962" w:type="dxa"/>
        <w:jc w:val="center"/>
        <w:tblInd w:w="0" w:type="dxa"/>
        <w:tblLayout w:type="fixed"/>
        <w:tblCellMar>
          <w:top w:w="0" w:type="dxa"/>
          <w:left w:w="108" w:type="dxa"/>
          <w:bottom w:w="0" w:type="dxa"/>
          <w:right w:w="108" w:type="dxa"/>
        </w:tblCellMar>
      </w:tblPr>
      <w:tblGrid>
        <w:gridCol w:w="1133"/>
        <w:gridCol w:w="1383"/>
        <w:gridCol w:w="717"/>
        <w:gridCol w:w="1265"/>
        <w:gridCol w:w="1718"/>
        <w:gridCol w:w="1492"/>
        <w:gridCol w:w="1254"/>
      </w:tblGrid>
      <w:tr>
        <w:tblPrEx>
          <w:tblLayout w:type="fixed"/>
          <w:tblCellMar>
            <w:top w:w="0" w:type="dxa"/>
            <w:left w:w="108" w:type="dxa"/>
            <w:bottom w:w="0" w:type="dxa"/>
            <w:right w:w="108" w:type="dxa"/>
          </w:tblCellMar>
        </w:tblPrEx>
        <w:trPr>
          <w:trHeight w:val="571" w:hRule="exact"/>
          <w:jc w:val="center"/>
        </w:trPr>
        <w:tc>
          <w:tcPr>
            <w:tcW w:w="113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b/>
                <w:color w:val="auto"/>
                <w:szCs w:val="21"/>
              </w:rPr>
            </w:pPr>
            <w:r>
              <w:rPr>
                <w:rFonts w:hint="eastAsia" w:ascii="宋体" w:hAnsi="宋体"/>
                <w:b/>
                <w:color w:val="auto"/>
                <w:szCs w:val="21"/>
              </w:rPr>
              <w:t>行业名称</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b/>
                <w:color w:val="auto"/>
                <w:szCs w:val="21"/>
              </w:rPr>
            </w:pPr>
            <w:r>
              <w:rPr>
                <w:rFonts w:hint="eastAsia" w:ascii="宋体" w:hAnsi="宋体"/>
                <w:b/>
                <w:color w:val="auto"/>
                <w:szCs w:val="21"/>
              </w:rPr>
              <w:t>指标名称</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b/>
                <w:color w:val="auto"/>
                <w:szCs w:val="21"/>
              </w:rPr>
            </w:pPr>
            <w:r>
              <w:rPr>
                <w:rFonts w:hint="eastAsia" w:ascii="宋体" w:hAnsi="宋体"/>
                <w:b/>
                <w:color w:val="auto"/>
                <w:szCs w:val="21"/>
              </w:rPr>
              <w:t>计量</w:t>
            </w:r>
          </w:p>
        </w:tc>
        <w:tc>
          <w:tcPr>
            <w:tcW w:w="12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b/>
                <w:color w:val="auto"/>
                <w:szCs w:val="21"/>
              </w:rPr>
            </w:pPr>
            <w:r>
              <w:rPr>
                <w:rFonts w:hint="eastAsia" w:ascii="宋体" w:hAnsi="宋体"/>
                <w:b/>
                <w:color w:val="auto"/>
                <w:szCs w:val="21"/>
              </w:rPr>
              <w:t>大型</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b/>
                <w:color w:val="auto"/>
                <w:szCs w:val="21"/>
              </w:rPr>
            </w:pPr>
            <w:r>
              <w:rPr>
                <w:rFonts w:hint="eastAsia" w:ascii="宋体" w:hAnsi="宋体"/>
                <w:b/>
                <w:color w:val="auto"/>
                <w:szCs w:val="21"/>
              </w:rPr>
              <w:t>中型</w:t>
            </w:r>
          </w:p>
        </w:tc>
        <w:tc>
          <w:tcPr>
            <w:tcW w:w="149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b/>
                <w:color w:val="auto"/>
                <w:szCs w:val="21"/>
              </w:rPr>
            </w:pPr>
            <w:r>
              <w:rPr>
                <w:rFonts w:hint="eastAsia" w:ascii="宋体" w:hAnsi="宋体"/>
                <w:b/>
                <w:color w:val="auto"/>
                <w:szCs w:val="21"/>
              </w:rPr>
              <w:t>小型</w:t>
            </w: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b/>
                <w:color w:val="auto"/>
                <w:szCs w:val="21"/>
              </w:rPr>
            </w:pPr>
            <w:r>
              <w:rPr>
                <w:rFonts w:hint="eastAsia" w:ascii="宋体" w:hAnsi="宋体"/>
                <w:b/>
                <w:color w:val="auto"/>
                <w:szCs w:val="21"/>
              </w:rPr>
              <w:t>微型</w:t>
            </w:r>
          </w:p>
        </w:tc>
      </w:tr>
      <w:tr>
        <w:tblPrEx>
          <w:tblLayout w:type="fixed"/>
          <w:tblCellMar>
            <w:top w:w="0" w:type="dxa"/>
            <w:left w:w="108" w:type="dxa"/>
            <w:bottom w:w="0" w:type="dxa"/>
            <w:right w:w="108" w:type="dxa"/>
          </w:tblCellMar>
        </w:tblPrEx>
        <w:trPr>
          <w:trHeight w:val="454" w:hRule="exact"/>
          <w:jc w:val="center"/>
        </w:trPr>
        <w:tc>
          <w:tcPr>
            <w:tcW w:w="1133"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hint="eastAsia" w:ascii="宋体" w:hAnsi="宋体"/>
                <w:color w:val="auto"/>
                <w:szCs w:val="21"/>
              </w:rPr>
              <w:t>工业</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hint="eastAsia" w:ascii="宋体" w:hAnsi="宋体"/>
                <w:color w:val="auto"/>
                <w:szCs w:val="21"/>
              </w:rPr>
              <w:t>从业人员</w:t>
            </w:r>
            <w:r>
              <w:rPr>
                <w:rFonts w:ascii="宋体" w:hAnsi="宋体"/>
                <w:color w:val="auto"/>
                <w:szCs w:val="21"/>
              </w:rPr>
              <w:t>(X)</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hint="eastAsia" w:ascii="宋体" w:hAnsi="宋体"/>
                <w:color w:val="auto"/>
                <w:szCs w:val="21"/>
              </w:rPr>
              <w:t>人</w:t>
            </w:r>
          </w:p>
        </w:tc>
        <w:tc>
          <w:tcPr>
            <w:tcW w:w="12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ascii="宋体" w:hAnsi="宋体"/>
                <w:color w:val="auto"/>
                <w:szCs w:val="21"/>
              </w:rPr>
              <w:t>X</w:t>
            </w:r>
            <w:r>
              <w:rPr>
                <w:rFonts w:hint="eastAsia" w:ascii="宋体" w:hAnsi="宋体"/>
                <w:color w:val="auto"/>
                <w:szCs w:val="21"/>
              </w:rPr>
              <w:t>≥</w:t>
            </w:r>
            <w:r>
              <w:rPr>
                <w:rFonts w:ascii="宋体" w:hAnsi="宋体"/>
                <w:color w:val="auto"/>
                <w:szCs w:val="21"/>
              </w:rPr>
              <w:t>1000</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ascii="宋体" w:hAnsi="宋体"/>
                <w:color w:val="auto"/>
                <w:szCs w:val="21"/>
              </w:rPr>
              <w:t>300</w:t>
            </w:r>
            <w:r>
              <w:rPr>
                <w:rFonts w:hint="eastAsia" w:ascii="宋体" w:hAnsi="宋体"/>
                <w:color w:val="auto"/>
                <w:szCs w:val="21"/>
              </w:rPr>
              <w:t>≤</w:t>
            </w:r>
            <w:r>
              <w:rPr>
                <w:rFonts w:ascii="宋体" w:hAnsi="宋体"/>
                <w:color w:val="auto"/>
                <w:szCs w:val="21"/>
              </w:rPr>
              <w:t>X</w:t>
            </w:r>
            <w:r>
              <w:rPr>
                <w:rFonts w:hint="eastAsia" w:ascii="宋体" w:hAnsi="宋体"/>
                <w:color w:val="auto"/>
                <w:szCs w:val="21"/>
              </w:rPr>
              <w:t>＜</w:t>
            </w:r>
            <w:r>
              <w:rPr>
                <w:rFonts w:ascii="宋体" w:hAnsi="宋体"/>
                <w:color w:val="auto"/>
                <w:szCs w:val="21"/>
              </w:rPr>
              <w:t>1000</w:t>
            </w:r>
          </w:p>
        </w:tc>
        <w:tc>
          <w:tcPr>
            <w:tcW w:w="149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ascii="宋体" w:hAnsi="宋体"/>
                <w:color w:val="auto"/>
                <w:szCs w:val="21"/>
              </w:rPr>
              <w:t>20</w:t>
            </w:r>
            <w:r>
              <w:rPr>
                <w:rFonts w:hint="eastAsia" w:ascii="宋体" w:hAnsi="宋体"/>
                <w:color w:val="auto"/>
                <w:szCs w:val="21"/>
              </w:rPr>
              <w:t>≤</w:t>
            </w:r>
            <w:r>
              <w:rPr>
                <w:rFonts w:ascii="宋体" w:hAnsi="宋体"/>
                <w:color w:val="auto"/>
                <w:szCs w:val="21"/>
              </w:rPr>
              <w:t>X</w:t>
            </w:r>
            <w:r>
              <w:rPr>
                <w:rFonts w:hint="eastAsia" w:ascii="宋体" w:hAnsi="宋体"/>
                <w:color w:val="auto"/>
                <w:szCs w:val="21"/>
              </w:rPr>
              <w:t>＜</w:t>
            </w:r>
            <w:r>
              <w:rPr>
                <w:rFonts w:ascii="宋体" w:hAnsi="宋体"/>
                <w:color w:val="auto"/>
                <w:szCs w:val="21"/>
              </w:rPr>
              <w:t>300</w:t>
            </w: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ascii="宋体" w:hAnsi="宋体"/>
                <w:color w:val="auto"/>
                <w:szCs w:val="21"/>
              </w:rPr>
              <w:t>X</w:t>
            </w:r>
            <w:r>
              <w:rPr>
                <w:rFonts w:hint="eastAsia" w:ascii="宋体" w:hAnsi="宋体"/>
                <w:color w:val="auto"/>
                <w:szCs w:val="21"/>
              </w:rPr>
              <w:t>＜</w:t>
            </w:r>
            <w:r>
              <w:rPr>
                <w:rFonts w:ascii="宋体" w:hAnsi="宋体"/>
                <w:color w:val="auto"/>
                <w:szCs w:val="21"/>
              </w:rPr>
              <w:t>20</w:t>
            </w:r>
          </w:p>
        </w:tc>
      </w:tr>
      <w:tr>
        <w:tblPrEx>
          <w:tblLayout w:type="fixed"/>
          <w:tblCellMar>
            <w:top w:w="0" w:type="dxa"/>
            <w:left w:w="108" w:type="dxa"/>
            <w:bottom w:w="0" w:type="dxa"/>
            <w:right w:w="108" w:type="dxa"/>
          </w:tblCellMar>
        </w:tblPrEx>
        <w:trPr>
          <w:trHeight w:val="454" w:hRule="exact"/>
          <w:jc w:val="center"/>
        </w:trPr>
        <w:tc>
          <w:tcPr>
            <w:tcW w:w="1133"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hint="eastAsia" w:ascii="宋体" w:hAnsi="宋体"/>
                <w:color w:val="auto"/>
                <w:szCs w:val="21"/>
              </w:rPr>
              <w:t>营业收入</w:t>
            </w:r>
            <w:r>
              <w:rPr>
                <w:rFonts w:ascii="宋体" w:hAnsi="宋体"/>
                <w:color w:val="auto"/>
                <w:szCs w:val="21"/>
              </w:rPr>
              <w:t>(Y)</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hint="eastAsia" w:ascii="宋体" w:hAnsi="宋体"/>
                <w:color w:val="auto"/>
                <w:szCs w:val="21"/>
              </w:rPr>
              <w:t>万元</w:t>
            </w:r>
          </w:p>
        </w:tc>
        <w:tc>
          <w:tcPr>
            <w:tcW w:w="126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ascii="宋体" w:hAnsi="宋体"/>
                <w:color w:val="auto"/>
                <w:szCs w:val="21"/>
              </w:rPr>
              <w:t>Y</w:t>
            </w:r>
            <w:r>
              <w:rPr>
                <w:rFonts w:hint="eastAsia" w:ascii="宋体" w:hAnsi="宋体"/>
                <w:color w:val="auto"/>
                <w:szCs w:val="21"/>
              </w:rPr>
              <w:t>≥</w:t>
            </w:r>
            <w:r>
              <w:rPr>
                <w:rFonts w:ascii="宋体" w:hAnsi="宋体"/>
                <w:color w:val="auto"/>
                <w:szCs w:val="21"/>
              </w:rPr>
              <w:t>40000</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ascii="宋体" w:hAnsi="宋体"/>
                <w:color w:val="auto"/>
                <w:szCs w:val="21"/>
              </w:rPr>
              <w:t>2000</w:t>
            </w:r>
            <w:r>
              <w:rPr>
                <w:rFonts w:hint="eastAsia" w:ascii="宋体" w:hAnsi="宋体"/>
                <w:color w:val="auto"/>
                <w:szCs w:val="21"/>
              </w:rPr>
              <w:t>≤</w:t>
            </w:r>
            <w:r>
              <w:rPr>
                <w:rFonts w:ascii="宋体" w:hAnsi="宋体"/>
                <w:color w:val="auto"/>
                <w:szCs w:val="21"/>
              </w:rPr>
              <w:t>Y</w:t>
            </w:r>
            <w:r>
              <w:rPr>
                <w:rFonts w:hint="eastAsia" w:ascii="宋体" w:hAnsi="宋体"/>
                <w:color w:val="auto"/>
                <w:szCs w:val="21"/>
              </w:rPr>
              <w:t>＜</w:t>
            </w:r>
            <w:r>
              <w:rPr>
                <w:rFonts w:ascii="宋体" w:hAnsi="宋体"/>
                <w:color w:val="auto"/>
                <w:szCs w:val="21"/>
              </w:rPr>
              <w:t>40000</w:t>
            </w:r>
          </w:p>
        </w:tc>
        <w:tc>
          <w:tcPr>
            <w:tcW w:w="149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ascii="宋体" w:hAnsi="宋体"/>
                <w:color w:val="auto"/>
                <w:szCs w:val="21"/>
              </w:rPr>
              <w:t>300</w:t>
            </w:r>
            <w:r>
              <w:rPr>
                <w:rFonts w:hint="eastAsia" w:ascii="宋体" w:hAnsi="宋体"/>
                <w:color w:val="auto"/>
                <w:szCs w:val="21"/>
              </w:rPr>
              <w:t>≤</w:t>
            </w:r>
            <w:r>
              <w:rPr>
                <w:rFonts w:ascii="宋体" w:hAnsi="宋体"/>
                <w:color w:val="auto"/>
                <w:szCs w:val="21"/>
              </w:rPr>
              <w:t>Y</w:t>
            </w:r>
            <w:r>
              <w:rPr>
                <w:rFonts w:hint="eastAsia" w:ascii="宋体" w:hAnsi="宋体"/>
                <w:color w:val="auto"/>
                <w:szCs w:val="21"/>
              </w:rPr>
              <w:t>＜</w:t>
            </w:r>
            <w:r>
              <w:rPr>
                <w:rFonts w:ascii="宋体" w:hAnsi="宋体"/>
                <w:color w:val="auto"/>
                <w:szCs w:val="21"/>
              </w:rPr>
              <w:t>2000</w:t>
            </w:r>
          </w:p>
        </w:tc>
        <w:tc>
          <w:tcPr>
            <w:tcW w:w="12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color w:val="auto"/>
                <w:szCs w:val="21"/>
              </w:rPr>
            </w:pPr>
            <w:r>
              <w:rPr>
                <w:rFonts w:ascii="宋体" w:hAnsi="宋体"/>
                <w:color w:val="auto"/>
                <w:szCs w:val="21"/>
              </w:rPr>
              <w:t>Y</w:t>
            </w:r>
            <w:r>
              <w:rPr>
                <w:rFonts w:hint="eastAsia" w:ascii="宋体" w:hAnsi="宋体"/>
                <w:color w:val="auto"/>
                <w:szCs w:val="21"/>
              </w:rPr>
              <w:t>＜</w:t>
            </w:r>
            <w:r>
              <w:rPr>
                <w:rFonts w:ascii="宋体" w:hAnsi="宋体"/>
                <w:color w:val="auto"/>
                <w:szCs w:val="21"/>
              </w:rPr>
              <w:t>300</w:t>
            </w:r>
          </w:p>
        </w:tc>
      </w:tr>
    </w:tbl>
    <w:p>
      <w:pPr>
        <w:spacing w:line="440" w:lineRule="exact"/>
        <w:ind w:firstLine="420" w:firstLineChars="200"/>
        <w:rPr>
          <w:rFonts w:ascii="宋体"/>
          <w:color w:val="auto"/>
          <w:szCs w:val="21"/>
        </w:rPr>
      </w:pPr>
      <w:r>
        <w:rPr>
          <w:rFonts w:hint="eastAsia" w:ascii="宋体" w:hAnsi="宋体"/>
          <w:color w:val="auto"/>
          <w:szCs w:val="21"/>
        </w:rPr>
        <w:t>注：大型、中型和小型企业须同时满足所列指标的下限，否则下划一档。</w:t>
      </w:r>
    </w:p>
    <w:p>
      <w:pPr>
        <w:snapToGrid w:val="0"/>
        <w:spacing w:line="440" w:lineRule="exact"/>
        <w:rPr>
          <w:rFonts w:ascii="黑体" w:hAnsi="宋体" w:eastAsia="黑体"/>
          <w:b/>
          <w:color w:val="auto"/>
          <w:szCs w:val="21"/>
        </w:rPr>
      </w:pPr>
      <w:r>
        <w:rPr>
          <w:rFonts w:hint="eastAsia" w:ascii="黑体" w:hAnsi="宋体" w:eastAsia="黑体"/>
          <w:b/>
          <w:color w:val="auto"/>
          <w:szCs w:val="21"/>
        </w:rPr>
        <w:t>5检验依据</w:t>
      </w:r>
    </w:p>
    <w:p>
      <w:pPr>
        <w:snapToGrid w:val="0"/>
        <w:spacing w:line="440" w:lineRule="exact"/>
        <w:ind w:firstLine="420" w:firstLineChars="200"/>
        <w:rPr>
          <w:rFonts w:ascii="宋体" w:hAnsi="宋体"/>
          <w:color w:val="auto"/>
          <w:szCs w:val="21"/>
        </w:rPr>
      </w:pPr>
      <w:r>
        <w:rPr>
          <w:rFonts w:hint="eastAsia" w:ascii="宋体" w:hAnsi="宋体"/>
          <w:color w:val="auto"/>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宋体"/>
          <w:color w:val="auto"/>
          <w:szCs w:val="21"/>
        </w:rPr>
      </w:pPr>
      <w:r>
        <w:rPr>
          <w:rFonts w:hint="eastAsia" w:ascii="宋体" w:hAnsi="宋体"/>
          <w:color w:val="auto"/>
          <w:szCs w:val="21"/>
        </w:rPr>
        <w:t>（相关产品标准及试验方法）</w:t>
      </w:r>
    </w:p>
    <w:p>
      <w:pPr>
        <w:snapToGrid w:val="0"/>
        <w:spacing w:line="440" w:lineRule="exact"/>
        <w:ind w:firstLine="420" w:firstLineChars="200"/>
        <w:rPr>
          <w:rFonts w:ascii="宋体" w:hAnsi="宋体"/>
          <w:color w:val="auto"/>
          <w:szCs w:val="21"/>
        </w:rPr>
      </w:pPr>
      <w:r>
        <w:rPr>
          <w:rFonts w:hint="eastAsia" w:ascii="宋体" w:hAnsi="宋体"/>
          <w:color w:val="auto"/>
          <w:szCs w:val="21"/>
        </w:rPr>
        <w:t>GB 4806.1-2016 食品安全国家标准食品接触材料及制品通用安全要求</w:t>
      </w:r>
    </w:p>
    <w:p>
      <w:pPr>
        <w:snapToGrid w:val="0"/>
        <w:spacing w:line="440" w:lineRule="exact"/>
        <w:ind w:firstLine="420" w:firstLineChars="200"/>
        <w:rPr>
          <w:rFonts w:ascii="宋体" w:hAnsi="宋体"/>
          <w:color w:val="auto"/>
          <w:szCs w:val="21"/>
        </w:rPr>
      </w:pPr>
      <w:r>
        <w:rPr>
          <w:rFonts w:hint="eastAsia" w:ascii="宋体" w:hAnsi="宋体" w:cs="宋体"/>
          <w:color w:val="auto"/>
          <w:kern w:val="0"/>
          <w:szCs w:val="21"/>
        </w:rPr>
        <w:t>GB 4806.2-2015</w:t>
      </w:r>
      <w:r>
        <w:rPr>
          <w:rFonts w:hint="eastAsia" w:ascii="宋体" w:hAnsi="宋体"/>
          <w:color w:val="auto"/>
          <w:szCs w:val="21"/>
        </w:rPr>
        <w:t>食品安全国家标准 奶嘴</w:t>
      </w:r>
    </w:p>
    <w:p>
      <w:pPr>
        <w:snapToGrid w:val="0"/>
        <w:spacing w:line="440" w:lineRule="exact"/>
        <w:ind w:firstLine="420" w:firstLineChars="200"/>
        <w:rPr>
          <w:rFonts w:ascii="宋体" w:hAnsi="宋体"/>
          <w:color w:val="auto"/>
          <w:szCs w:val="21"/>
        </w:rPr>
      </w:pPr>
      <w:r>
        <w:rPr>
          <w:rFonts w:hint="eastAsia" w:ascii="宋体" w:hAnsi="宋体"/>
          <w:color w:val="auto"/>
          <w:szCs w:val="21"/>
        </w:rPr>
        <w:t>GB 31604.1-2015食品安全国家标准 食品接触材料及制品迁移试验通则</w:t>
      </w:r>
    </w:p>
    <w:p>
      <w:pPr>
        <w:snapToGrid w:val="0"/>
        <w:spacing w:line="440" w:lineRule="exact"/>
        <w:ind w:firstLine="420" w:firstLineChars="200"/>
        <w:rPr>
          <w:rFonts w:ascii="宋体" w:hAnsi="宋体"/>
          <w:color w:val="auto"/>
          <w:szCs w:val="21"/>
        </w:rPr>
      </w:pPr>
      <w:r>
        <w:rPr>
          <w:rFonts w:hint="eastAsia" w:ascii="宋体" w:hAnsi="宋体"/>
          <w:color w:val="auto"/>
          <w:szCs w:val="21"/>
        </w:rPr>
        <w:t>GB 31604.2-2016食品安全国家标准 食品接触材料及制品 高锰酸钾消耗量的测定</w:t>
      </w:r>
    </w:p>
    <w:p>
      <w:pPr>
        <w:snapToGrid w:val="0"/>
        <w:spacing w:line="440" w:lineRule="exact"/>
        <w:ind w:firstLine="420" w:firstLineChars="200"/>
        <w:rPr>
          <w:rFonts w:ascii="宋体" w:hAnsi="宋体"/>
          <w:color w:val="auto"/>
          <w:szCs w:val="21"/>
        </w:rPr>
      </w:pPr>
      <w:r>
        <w:rPr>
          <w:rFonts w:hint="eastAsia" w:ascii="宋体" w:hAnsi="宋体"/>
          <w:color w:val="auto"/>
          <w:szCs w:val="21"/>
        </w:rPr>
        <w:t>GB 31604.7-2016食品安全国家标准 食品接触材料及制品 脱色试验</w:t>
      </w:r>
    </w:p>
    <w:p>
      <w:pPr>
        <w:snapToGrid w:val="0"/>
        <w:spacing w:line="440" w:lineRule="exact"/>
        <w:ind w:firstLine="420" w:firstLineChars="200"/>
        <w:rPr>
          <w:rFonts w:ascii="宋体" w:hAnsi="宋体"/>
          <w:color w:val="auto"/>
          <w:szCs w:val="21"/>
        </w:rPr>
      </w:pPr>
      <w:r>
        <w:rPr>
          <w:rFonts w:hint="eastAsia" w:ascii="宋体" w:hAnsi="宋体"/>
          <w:color w:val="auto"/>
          <w:szCs w:val="21"/>
        </w:rPr>
        <w:t>GB 31604.8-2016食品安全国家标准 食品接触材料及制品 总迁移量的测定</w:t>
      </w:r>
    </w:p>
    <w:p>
      <w:pPr>
        <w:snapToGrid w:val="0"/>
        <w:spacing w:line="440" w:lineRule="exact"/>
        <w:ind w:firstLine="420" w:firstLineChars="200"/>
        <w:rPr>
          <w:rFonts w:ascii="宋体" w:hAnsi="宋体"/>
          <w:color w:val="auto"/>
          <w:szCs w:val="21"/>
        </w:rPr>
      </w:pPr>
      <w:r>
        <w:rPr>
          <w:rFonts w:hint="eastAsia" w:ascii="宋体" w:hAnsi="宋体"/>
          <w:color w:val="auto"/>
          <w:szCs w:val="21"/>
        </w:rPr>
        <w:t>GB 31604.9-2016食品安全国家标准 食品接触材料及制品 食品模拟物中重金属的测定</w:t>
      </w:r>
    </w:p>
    <w:p>
      <w:pPr>
        <w:snapToGrid w:val="0"/>
        <w:spacing w:line="440" w:lineRule="exact"/>
        <w:ind w:firstLine="420" w:firstLineChars="200"/>
        <w:rPr>
          <w:rFonts w:ascii="宋体" w:hAnsi="宋体"/>
          <w:color w:val="auto"/>
          <w:szCs w:val="21"/>
        </w:rPr>
      </w:pPr>
      <w:r>
        <w:rPr>
          <w:rFonts w:hint="eastAsia" w:ascii="宋体" w:hAnsi="宋体"/>
          <w:color w:val="auto"/>
          <w:szCs w:val="21"/>
        </w:rPr>
        <w:t>GB 5009.156-2016 食品安全国家标准 食品接触材料及制品迁移试验预处理方法通则</w:t>
      </w:r>
    </w:p>
    <w:p>
      <w:pPr>
        <w:snapToGrid w:val="0"/>
        <w:spacing w:line="440" w:lineRule="exact"/>
        <w:ind w:firstLine="420" w:firstLineChars="200"/>
        <w:rPr>
          <w:rFonts w:ascii="宋体" w:hAnsi="宋体"/>
          <w:color w:val="auto"/>
          <w:szCs w:val="21"/>
        </w:rPr>
      </w:pPr>
      <w:r>
        <w:rPr>
          <w:rFonts w:hint="eastAsia" w:ascii="宋体" w:hAnsi="宋体"/>
          <w:color w:val="auto"/>
          <w:szCs w:val="21"/>
        </w:rPr>
        <w:t>GB 28482-2012婴幼儿安抚奶嘴安全要求</w:t>
      </w:r>
    </w:p>
    <w:p>
      <w:pPr>
        <w:snapToGrid w:val="0"/>
        <w:spacing w:line="440" w:lineRule="exact"/>
        <w:ind w:firstLine="420" w:firstLineChars="200"/>
        <w:rPr>
          <w:rFonts w:ascii="宋体" w:hAnsi="宋体"/>
          <w:color w:val="auto"/>
          <w:szCs w:val="21"/>
        </w:rPr>
      </w:pPr>
      <w:r>
        <w:rPr>
          <w:rFonts w:hint="eastAsia" w:ascii="宋体" w:hAnsi="宋体"/>
          <w:color w:val="auto"/>
          <w:szCs w:val="21"/>
        </w:rPr>
        <w:t>相关的法律法规、部门规章和规范</w:t>
      </w:r>
    </w:p>
    <w:p>
      <w:pPr>
        <w:snapToGrid w:val="0"/>
        <w:spacing w:line="440" w:lineRule="exact"/>
        <w:ind w:firstLine="420" w:firstLineChars="200"/>
        <w:rPr>
          <w:rFonts w:ascii="宋体" w:hAnsi="宋体"/>
          <w:color w:val="auto"/>
          <w:szCs w:val="21"/>
        </w:rPr>
      </w:pPr>
      <w:r>
        <w:rPr>
          <w:rFonts w:hint="eastAsia" w:ascii="宋体" w:hAnsi="宋体"/>
          <w:color w:val="auto"/>
          <w:szCs w:val="21"/>
        </w:rPr>
        <w:t>经在全国企业标准信息公共服务平台自我声明公开或备案有效期内现行有效的企业标准及产品明示质量要求</w:t>
      </w:r>
    </w:p>
    <w:p>
      <w:pPr>
        <w:snapToGrid w:val="0"/>
        <w:spacing w:line="440" w:lineRule="exact"/>
        <w:rPr>
          <w:rFonts w:ascii="黑体" w:hAnsi="宋体" w:eastAsia="黑体"/>
          <w:b/>
          <w:color w:val="auto"/>
          <w:szCs w:val="21"/>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6抽样</w:t>
      </w:r>
    </w:p>
    <w:p>
      <w:pPr>
        <w:snapToGrid w:val="0"/>
        <w:spacing w:line="440" w:lineRule="exact"/>
        <w:rPr>
          <w:rFonts w:hint="eastAsia" w:ascii="黑体" w:hAnsi="宋体" w:eastAsia="黑体"/>
          <w:color w:val="auto"/>
          <w:szCs w:val="21"/>
        </w:rPr>
      </w:pPr>
      <w:r>
        <w:rPr>
          <w:rFonts w:hint="eastAsia" w:ascii="黑体" w:hAnsi="宋体" w:eastAsia="黑体"/>
          <w:color w:val="auto"/>
          <w:szCs w:val="21"/>
        </w:rPr>
        <w:t>6.1现场抽样</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1.1</w:t>
      </w:r>
      <w:r>
        <w:rPr>
          <w:rFonts w:hint="eastAsia" w:ascii="宋体" w:hAnsi="宋体"/>
          <w:color w:val="auto"/>
          <w:szCs w:val="21"/>
        </w:rPr>
        <w:t>抽样型号或规格</w:t>
      </w:r>
    </w:p>
    <w:p>
      <w:pPr>
        <w:snapToGrid w:val="0"/>
        <w:spacing w:line="440" w:lineRule="exact"/>
        <w:ind w:firstLine="420" w:firstLineChars="200"/>
        <w:rPr>
          <w:rFonts w:ascii="宋体" w:hAnsi="宋体"/>
          <w:color w:val="auto"/>
          <w:szCs w:val="21"/>
        </w:rPr>
      </w:pPr>
      <w:r>
        <w:rPr>
          <w:rFonts w:hint="eastAsia" w:ascii="宋体" w:hAnsi="宋体"/>
          <w:color w:val="auto"/>
          <w:szCs w:val="21"/>
        </w:rPr>
        <w:t>抽取样品应为同一型号规格、同一批次的产品。</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1.2</w:t>
      </w:r>
      <w:r>
        <w:rPr>
          <w:rFonts w:hint="eastAsia" w:ascii="宋体" w:hAnsi="宋体"/>
          <w:color w:val="auto"/>
          <w:szCs w:val="21"/>
        </w:rPr>
        <w:t xml:space="preserve"> 抽样方法、基数及数量</w:t>
      </w:r>
    </w:p>
    <w:p>
      <w:pPr>
        <w:snapToGrid w:val="0"/>
        <w:spacing w:line="440" w:lineRule="exact"/>
        <w:ind w:firstLine="420" w:firstLineChars="200"/>
        <w:rPr>
          <w:rFonts w:ascii="宋体" w:hAnsi="宋体"/>
          <w:color w:val="auto"/>
          <w:szCs w:val="21"/>
        </w:rPr>
      </w:pPr>
      <w:r>
        <w:rPr>
          <w:rFonts w:ascii="宋体" w:hAnsi="宋体"/>
          <w:color w:val="auto"/>
          <w:szCs w:val="21"/>
        </w:rPr>
        <w:t>在</w:t>
      </w:r>
      <w:r>
        <w:rPr>
          <w:rFonts w:hint="eastAsia" w:ascii="宋体" w:hAnsi="宋体"/>
          <w:color w:val="auto"/>
          <w:szCs w:val="21"/>
        </w:rPr>
        <w:t>流通领域（实体店）待销产品中</w:t>
      </w:r>
      <w:r>
        <w:rPr>
          <w:rFonts w:ascii="宋体" w:hAnsi="宋体"/>
          <w:color w:val="auto"/>
          <w:szCs w:val="21"/>
        </w:rPr>
        <w:t>随机抽取</w:t>
      </w:r>
      <w:r>
        <w:rPr>
          <w:rFonts w:hint="eastAsia" w:ascii="宋体" w:hAnsi="宋体"/>
          <w:color w:val="auto"/>
          <w:szCs w:val="21"/>
        </w:rPr>
        <w:t>有产品质量检验合格证明或者以其他形式表明合格的、近期生产的产品。随机数一般可使用随机数表、骰子或扑克牌等方法产生。</w:t>
      </w:r>
    </w:p>
    <w:p>
      <w:pPr>
        <w:snapToGrid w:val="0"/>
        <w:spacing w:line="440" w:lineRule="exact"/>
        <w:ind w:firstLine="420" w:firstLineChars="200"/>
        <w:rPr>
          <w:rFonts w:ascii="宋体" w:hAnsi="宋体"/>
          <w:color w:val="auto"/>
          <w:szCs w:val="21"/>
        </w:rPr>
      </w:pPr>
      <w:r>
        <w:rPr>
          <w:rFonts w:hint="eastAsia" w:ascii="宋体" w:hAnsi="宋体"/>
          <w:color w:val="auto"/>
          <w:szCs w:val="21"/>
        </w:rPr>
        <w:t>在流通领域（实体店）</w:t>
      </w:r>
      <w:r>
        <w:rPr>
          <w:rFonts w:ascii="宋体" w:hAnsi="宋体"/>
          <w:color w:val="auto"/>
          <w:szCs w:val="21"/>
        </w:rPr>
        <w:t>上</w:t>
      </w:r>
      <w:r>
        <w:rPr>
          <w:rFonts w:hint="eastAsia" w:ascii="宋体" w:hAnsi="宋体"/>
          <w:color w:val="auto"/>
          <w:szCs w:val="21"/>
        </w:rPr>
        <w:t>抽样时，抽样基数应不少于抽取样品量。</w:t>
      </w:r>
      <w:r>
        <w:rPr>
          <w:rFonts w:hint="eastAsia" w:ascii="宋体" w:hAnsi="宋体" w:cs="宋体"/>
          <w:color w:val="auto"/>
          <w:kern w:val="0"/>
          <w:szCs w:val="21"/>
        </w:rPr>
        <w:t>奶嘴</w:t>
      </w:r>
      <w:r>
        <w:rPr>
          <w:rFonts w:hint="eastAsia" w:ascii="宋体" w:hAnsi="宋体"/>
          <w:color w:val="auto"/>
          <w:szCs w:val="21"/>
        </w:rPr>
        <w:t>抽取不少于20个，其中检验样品16个，备用样品4个</w:t>
      </w:r>
      <w:r>
        <w:rPr>
          <w:rFonts w:ascii="宋体" w:hAnsi="宋体"/>
          <w:color w:val="auto"/>
          <w:szCs w:val="21"/>
        </w:rPr>
        <w:t>。</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1.3</w:t>
      </w:r>
      <w:r>
        <w:rPr>
          <w:rFonts w:hint="eastAsia" w:ascii="宋体" w:hAnsi="宋体"/>
          <w:color w:val="auto"/>
          <w:szCs w:val="21"/>
        </w:rPr>
        <w:t>样品处置</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1.3</w:t>
      </w:r>
      <w:r>
        <w:rPr>
          <w:rFonts w:hint="eastAsia" w:ascii="宋体" w:hAnsi="宋体"/>
          <w:color w:val="auto"/>
          <w:szCs w:val="21"/>
        </w:rPr>
        <w:t>.1 对抽取的样品，应在纸质封条上分别注明“</w:t>
      </w:r>
      <w:r>
        <w:rPr>
          <w:rFonts w:ascii="宋体" w:hAnsi="宋体"/>
          <w:color w:val="auto"/>
          <w:szCs w:val="21"/>
        </w:rPr>
        <w:t>检验</w:t>
      </w:r>
      <w:r>
        <w:rPr>
          <w:rFonts w:hint="eastAsia" w:ascii="宋体" w:hAnsi="宋体"/>
          <w:color w:val="auto"/>
          <w:szCs w:val="21"/>
        </w:rPr>
        <w:t>样品”与“备用样品”，</w:t>
      </w:r>
      <w:r>
        <w:rPr>
          <w:rFonts w:hint="eastAsia" w:ascii="宋体" w:hAnsi="宋体"/>
          <w:color w:val="auto"/>
          <w:szCs w:val="21"/>
        </w:rPr>
        <w:t>现场</w:t>
      </w:r>
      <w:r>
        <w:rPr>
          <w:rFonts w:hint="eastAsia" w:ascii="宋体" w:hAnsi="宋体"/>
          <w:color w:val="auto"/>
          <w:szCs w:val="21"/>
          <w:lang w:eastAsia="zh-CN"/>
        </w:rPr>
        <w:t>进行</w:t>
      </w:r>
      <w:r>
        <w:rPr>
          <w:rFonts w:hint="eastAsia" w:ascii="宋体" w:hAnsi="宋体"/>
          <w:color w:val="auto"/>
          <w:szCs w:val="21"/>
        </w:rPr>
        <w:t>封样</w:t>
      </w:r>
      <w:r>
        <w:rPr>
          <w:rFonts w:hint="eastAsia" w:ascii="宋体" w:hAnsi="宋体"/>
          <w:color w:val="auto"/>
          <w:szCs w:val="21"/>
          <w:lang w:eastAsia="zh-CN"/>
        </w:rPr>
        <w:t>。</w:t>
      </w:r>
      <w:r>
        <w:rPr>
          <w:rFonts w:hint="eastAsia" w:ascii="宋体" w:hAnsi="宋体"/>
          <w:color w:val="auto"/>
          <w:szCs w:val="21"/>
        </w:rPr>
        <w:t>被抽查产品的样品应有密封和防拆封措施，以保证其完整性、真实性，包括附在样品上的使用说明及其他信息；检验用样品及备用(复检)样品应分别封样</w:t>
      </w:r>
      <w:r>
        <w:rPr>
          <w:rFonts w:hint="eastAsia" w:ascii="宋体" w:hAnsi="宋体"/>
          <w:color w:val="auto"/>
          <w:szCs w:val="21"/>
          <w:lang w:eastAsia="zh-CN"/>
        </w:rPr>
        <w:t>，</w:t>
      </w:r>
      <w:r>
        <w:rPr>
          <w:rFonts w:hint="eastAsia" w:ascii="宋体" w:hAnsi="宋体"/>
          <w:color w:val="auto"/>
          <w:szCs w:val="21"/>
        </w:rPr>
        <w:t>封样方式应</w:t>
      </w:r>
      <w:r>
        <w:rPr>
          <w:rFonts w:hint="eastAsia" w:ascii="宋体" w:hAnsi="宋体"/>
          <w:color w:val="auto"/>
          <w:szCs w:val="21"/>
          <w:lang w:eastAsia="zh-CN"/>
        </w:rPr>
        <w:t>避免</w:t>
      </w:r>
      <w:r>
        <w:rPr>
          <w:rFonts w:hint="eastAsia" w:ascii="宋体" w:hAnsi="宋体"/>
          <w:color w:val="auto"/>
          <w:szCs w:val="21"/>
        </w:rPr>
        <w:t>样品在运送过程中损坏或被污染，</w:t>
      </w:r>
      <w:r>
        <w:rPr>
          <w:rFonts w:hint="eastAsia" w:ascii="宋体" w:hAnsi="宋体"/>
          <w:color w:val="auto"/>
          <w:szCs w:val="21"/>
          <w:lang w:eastAsia="zh-CN"/>
        </w:rPr>
        <w:t>并能</w:t>
      </w:r>
      <w:r>
        <w:rPr>
          <w:rFonts w:hint="eastAsia" w:ascii="宋体" w:hAnsi="宋体"/>
          <w:color w:val="auto"/>
          <w:szCs w:val="21"/>
        </w:rPr>
        <w:t>有效防止未经授权的拆封。</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1.3</w:t>
      </w:r>
      <w:r>
        <w:rPr>
          <w:rFonts w:hint="eastAsia" w:ascii="宋体" w:hAnsi="宋体"/>
          <w:color w:val="auto"/>
          <w:szCs w:val="21"/>
        </w:rPr>
        <w:t xml:space="preserve">.2 </w:t>
      </w:r>
      <w:r>
        <w:rPr>
          <w:rFonts w:hint="eastAsia" w:ascii="宋体" w:hAnsi="宋体"/>
          <w:color w:val="auto"/>
          <w:szCs w:val="21"/>
        </w:rPr>
        <w:t>抽取的样品由抽样人员寄、送至指定的检验机构相关部门，备用（复检）样品封存于检验机构。</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1.3</w:t>
      </w:r>
      <w:r>
        <w:rPr>
          <w:rFonts w:hint="eastAsia" w:ascii="宋体" w:hAnsi="宋体"/>
          <w:color w:val="auto"/>
          <w:szCs w:val="21"/>
        </w:rPr>
        <w:t>.3 备用样品及检验结束后的样品应该贮存在阴凉、干燥、避免阳光直射的安全处。应保证备用样品在整个保存期间，签封完整无损。</w:t>
      </w:r>
    </w:p>
    <w:p>
      <w:pPr>
        <w:snapToGrid w:val="0"/>
        <w:spacing w:line="440" w:lineRule="exact"/>
        <w:rPr>
          <w:rFonts w:ascii="宋体" w:hAnsi="宋体"/>
          <w:color w:val="auto"/>
          <w:szCs w:val="21"/>
        </w:rPr>
      </w:pPr>
      <w:r>
        <w:rPr>
          <w:rFonts w:ascii="宋体" w:hAnsi="宋体"/>
          <w:color w:val="auto"/>
          <w:szCs w:val="21"/>
        </w:rPr>
        <w:t>6</w:t>
      </w:r>
      <w:r>
        <w:rPr>
          <w:rFonts w:hint="eastAsia" w:ascii="宋体" w:hAnsi="宋体"/>
          <w:color w:val="auto"/>
          <w:szCs w:val="21"/>
        </w:rPr>
        <w:t>.</w:t>
      </w:r>
      <w:r>
        <w:rPr>
          <w:rFonts w:ascii="宋体" w:hAnsi="宋体"/>
          <w:color w:val="auto"/>
          <w:szCs w:val="21"/>
        </w:rPr>
        <w:t>1.3</w:t>
      </w:r>
      <w:r>
        <w:rPr>
          <w:rFonts w:hint="eastAsia" w:ascii="宋体" w:hAnsi="宋体"/>
          <w:color w:val="auto"/>
          <w:szCs w:val="21"/>
        </w:rPr>
        <w:t>.</w:t>
      </w:r>
      <w:r>
        <w:rPr>
          <w:rFonts w:ascii="宋体" w:hAnsi="宋体"/>
          <w:color w:val="auto"/>
          <w:szCs w:val="21"/>
        </w:rPr>
        <w:t>4</w:t>
      </w:r>
      <w:r>
        <w:rPr>
          <w:rFonts w:hint="eastAsia" w:ascii="宋体" w:hAnsi="宋体"/>
          <w:color w:val="auto"/>
          <w:szCs w:val="21"/>
        </w:rPr>
        <w:t>检验机构</w:t>
      </w:r>
      <w:bookmarkStart w:id="0" w:name="_GoBack"/>
      <w:bookmarkEnd w:id="0"/>
      <w:r>
        <w:rPr>
          <w:rFonts w:hint="eastAsia" w:ascii="宋体" w:hAnsi="宋体"/>
          <w:color w:val="auto"/>
          <w:szCs w:val="21"/>
        </w:rPr>
        <w:t>接收样品应当有专人负责检查、记录样品的外观、状态、封条有无破损及其他可能对检测结果或者综合判定产生影响的情况，并确认样品与抽样单的记录是否相符，对检测和备用样品分别加贴相应标识后入库。</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1.4</w:t>
      </w:r>
      <w:r>
        <w:rPr>
          <w:rFonts w:hint="eastAsia" w:ascii="宋体" w:hAnsi="宋体"/>
          <w:color w:val="auto"/>
          <w:szCs w:val="21"/>
        </w:rPr>
        <w:t>抽样注意事项</w:t>
      </w:r>
    </w:p>
    <w:p>
      <w:pPr>
        <w:snapToGrid w:val="0"/>
        <w:spacing w:line="440" w:lineRule="exact"/>
        <w:ind w:firstLine="420" w:firstLineChars="200"/>
        <w:rPr>
          <w:color w:val="auto"/>
        </w:rPr>
      </w:pPr>
      <w:r>
        <w:rPr>
          <w:color w:val="auto"/>
        </w:rPr>
        <w:t>抽样人员应先在抽取的所有样品上分别签名（要确保签名部位对样品检测结果不产生影响，样品上不便签字的，在样品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autoSpaceDE w:val="0"/>
        <w:autoSpaceDN w:val="0"/>
        <w:adjustRightInd w:val="0"/>
        <w:spacing w:line="360" w:lineRule="auto"/>
        <w:jc w:val="left"/>
        <w:rPr>
          <w:rFonts w:hint="eastAsia" w:ascii="宋体" w:hAnsi="宋体" w:cs="楷体_GB2312"/>
          <w:bCs/>
          <w:color w:val="auto"/>
          <w:kern w:val="0"/>
          <w:szCs w:val="21"/>
          <w:lang w:val="zh-CN"/>
        </w:rPr>
      </w:pPr>
      <w:r>
        <w:rPr>
          <w:rFonts w:hint="eastAsia" w:ascii="宋体" w:hAnsi="宋体" w:cs="楷体_GB2312"/>
          <w:bCs/>
          <w:color w:val="auto"/>
          <w:kern w:val="0"/>
          <w:szCs w:val="21"/>
          <w:lang w:val="zh-CN"/>
        </w:rPr>
        <w:t>6.2 网络抽样</w:t>
      </w:r>
    </w:p>
    <w:p>
      <w:pPr>
        <w:autoSpaceDE w:val="0"/>
        <w:autoSpaceDN w:val="0"/>
        <w:adjustRightInd w:val="0"/>
        <w:spacing w:line="360" w:lineRule="auto"/>
        <w:jc w:val="left"/>
        <w:rPr>
          <w:rFonts w:hint="eastAsia" w:ascii="宋体" w:hAnsi="宋体" w:cs="楷体_GB2312"/>
          <w:bCs/>
          <w:color w:val="auto"/>
          <w:kern w:val="0"/>
          <w:szCs w:val="21"/>
          <w:lang w:val="zh-CN"/>
        </w:rPr>
      </w:pPr>
      <w:r>
        <w:rPr>
          <w:rFonts w:hint="eastAsia" w:ascii="宋体" w:hAnsi="宋体" w:cs="楷体_GB2312"/>
          <w:bCs/>
          <w:color w:val="auto"/>
          <w:kern w:val="0"/>
          <w:szCs w:val="21"/>
          <w:lang w:val="zh-CN"/>
        </w:rPr>
        <w:t>6.2.1 对电子商务经营者销售的本行政区域内的生产者生产的产品和本行政区域内的电子商务经营者销售的产品进行抽样时，可以以消费者的名义买样。</w:t>
      </w:r>
    </w:p>
    <w:p>
      <w:pPr>
        <w:autoSpaceDE w:val="0"/>
        <w:autoSpaceDN w:val="0"/>
        <w:adjustRightInd w:val="0"/>
        <w:spacing w:line="360" w:lineRule="auto"/>
        <w:jc w:val="left"/>
        <w:rPr>
          <w:rFonts w:hint="eastAsia" w:ascii="宋体" w:hAnsi="宋体" w:cs="楷体_GB2312"/>
          <w:bCs/>
          <w:color w:val="auto"/>
          <w:kern w:val="0"/>
          <w:szCs w:val="21"/>
          <w:lang w:val="zh-CN"/>
        </w:rPr>
      </w:pPr>
      <w:r>
        <w:rPr>
          <w:rFonts w:hint="eastAsia" w:ascii="宋体" w:hAnsi="宋体" w:cs="楷体_GB2312"/>
          <w:bCs/>
          <w:color w:val="auto"/>
          <w:kern w:val="0"/>
          <w:szCs w:val="21"/>
          <w:lang w:val="zh-CN"/>
        </w:rPr>
        <w:t>6.2.2 进行网络抽样的，应当记录抽样人员以及付款账户、注册账号、收货地址、联系方式等信息。抽样人员应当通过截图、拍照或者录像的方式记录被抽样销售者信息、样品网页展示信息，以及订单信息、支付记录等。</w:t>
      </w:r>
    </w:p>
    <w:p>
      <w:pPr>
        <w:autoSpaceDE w:val="0"/>
        <w:autoSpaceDN w:val="0"/>
        <w:adjustRightInd w:val="0"/>
        <w:spacing w:line="360" w:lineRule="auto"/>
        <w:jc w:val="left"/>
        <w:rPr>
          <w:rFonts w:hint="eastAsia" w:ascii="宋体" w:hAnsi="宋体" w:cs="楷体_GB2312"/>
          <w:bCs/>
          <w:color w:val="auto"/>
          <w:kern w:val="0"/>
          <w:szCs w:val="21"/>
          <w:lang w:val="zh-CN"/>
        </w:rPr>
      </w:pPr>
      <w:r>
        <w:rPr>
          <w:rFonts w:hint="eastAsia" w:ascii="宋体" w:hAnsi="宋体" w:cs="楷体_GB2312"/>
          <w:bCs/>
          <w:color w:val="auto"/>
          <w:kern w:val="0"/>
          <w:szCs w:val="21"/>
          <w:lang w:val="zh-CN"/>
        </w:rPr>
        <w:t>6.2.3 抽样人员购买的样品应当包括检验样品和备用样品。</w:t>
      </w:r>
    </w:p>
    <w:p>
      <w:pPr>
        <w:autoSpaceDE w:val="0"/>
        <w:autoSpaceDN w:val="0"/>
        <w:adjustRightInd w:val="0"/>
        <w:spacing w:line="360" w:lineRule="auto"/>
        <w:jc w:val="left"/>
        <w:rPr>
          <w:rFonts w:hint="eastAsia" w:ascii="宋体" w:hAnsi="宋体" w:cs="楷体_GB2312"/>
          <w:bCs/>
          <w:color w:val="auto"/>
          <w:kern w:val="0"/>
          <w:szCs w:val="21"/>
          <w:lang w:val="zh-CN"/>
        </w:rPr>
      </w:pPr>
      <w:r>
        <w:rPr>
          <w:rFonts w:hint="eastAsia" w:ascii="宋体" w:hAnsi="宋体" w:cs="楷体_GB2312"/>
          <w:bCs/>
          <w:color w:val="auto"/>
          <w:kern w:val="0"/>
          <w:szCs w:val="21"/>
          <w:lang w:val="zh-CN"/>
        </w:rPr>
        <w:t>6.2.4 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w:t>
      </w:r>
      <w:r>
        <w:rPr>
          <w:rFonts w:ascii="宋体" w:hAnsi="宋体" w:cs="楷体_GB2312"/>
          <w:bCs/>
          <w:color w:val="auto"/>
          <w:kern w:val="0"/>
          <w:szCs w:val="21"/>
          <w:lang w:val="zh-CN"/>
        </w:rPr>
        <w:t>3</w:t>
      </w:r>
      <w:r>
        <w:rPr>
          <w:rFonts w:hint="eastAsia" w:ascii="宋体" w:hAnsi="宋体" w:cs="楷体_GB2312"/>
          <w:bCs/>
          <w:color w:val="auto"/>
          <w:kern w:val="0"/>
          <w:szCs w:val="21"/>
          <w:lang w:val="zh-CN"/>
        </w:rPr>
        <w:t xml:space="preserve"> 抽样单</w:t>
      </w:r>
    </w:p>
    <w:p>
      <w:pPr>
        <w:autoSpaceDE w:val="0"/>
        <w:autoSpaceDN w:val="0"/>
        <w:adjustRightInd w:val="0"/>
        <w:spacing w:line="360" w:lineRule="auto"/>
        <w:ind w:firstLine="420" w:firstLineChars="200"/>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市场抽样：应按有关规定填写抽样单，并记录被抽查产品及受检单位相关信息。同时记录被抽查受检单位所抽产品的进货量和库存量，以对应产品的单位计；记录被抽查企业所抽产品的销售单价，以万元计。对于产品检验所需的样品技术参数包括被抽查产品的依据标准等信息，需要受检单位提供的，应在抽样现场获取，并经生产企业确认。</w:t>
      </w:r>
    </w:p>
    <w:p>
      <w:pPr>
        <w:autoSpaceDE w:val="0"/>
        <w:autoSpaceDN w:val="0"/>
        <w:adjustRightInd w:val="0"/>
        <w:spacing w:line="360" w:lineRule="auto"/>
        <w:ind w:firstLine="420" w:firstLineChars="200"/>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网络抽样：应当根据样品情况填写抽样文书。抽样文书经抽样人员签字并加盖抽样单位公章后，与监督抽查通知书一并寄送被抽样销售者。抽样机构执行买样任务的，还应当寄送组织监督抽查的市场监督管理部门出具的授权委托书复印件。</w:t>
      </w:r>
    </w:p>
    <w:p>
      <w:pPr>
        <w:snapToGrid w:val="0"/>
        <w:spacing w:line="440" w:lineRule="exact"/>
        <w:rPr>
          <w:rFonts w:ascii="黑体" w:hAnsi="宋体" w:eastAsia="黑体"/>
          <w:b/>
          <w:color w:val="auto"/>
          <w:szCs w:val="21"/>
        </w:rPr>
      </w:pPr>
      <w:r>
        <w:rPr>
          <w:rFonts w:hint="eastAsia" w:ascii="黑体" w:hAnsi="宋体" w:eastAsia="黑体"/>
          <w:b/>
          <w:color w:val="auto"/>
          <w:szCs w:val="21"/>
        </w:rPr>
        <w:t>7检验要求</w:t>
      </w:r>
    </w:p>
    <w:p>
      <w:pPr>
        <w:snapToGrid w:val="0"/>
        <w:spacing w:line="440" w:lineRule="exact"/>
        <w:rPr>
          <w:rFonts w:ascii="宋体" w:hAnsi="宋体"/>
          <w:color w:val="auto"/>
          <w:szCs w:val="21"/>
        </w:rPr>
      </w:pPr>
      <w:r>
        <w:rPr>
          <w:rFonts w:hint="eastAsia" w:ascii="宋体" w:hAnsi="宋体"/>
          <w:color w:val="auto"/>
          <w:szCs w:val="21"/>
        </w:rPr>
        <w:t>7.1 检验项目</w:t>
      </w:r>
    </w:p>
    <w:p>
      <w:pPr>
        <w:tabs>
          <w:tab w:val="left" w:pos="1320"/>
        </w:tabs>
        <w:snapToGrid w:val="0"/>
        <w:spacing w:line="440" w:lineRule="exact"/>
        <w:ind w:firstLine="420" w:firstLineChars="200"/>
        <w:rPr>
          <w:rFonts w:ascii="宋体" w:hAnsi="宋体"/>
          <w:color w:val="auto"/>
          <w:szCs w:val="21"/>
        </w:rPr>
      </w:pPr>
      <w:r>
        <w:rPr>
          <w:rFonts w:hint="eastAsia" w:ascii="宋体" w:hAnsi="宋体"/>
          <w:color w:val="auto"/>
          <w:szCs w:val="21"/>
        </w:rPr>
        <w:t>检验项目及重要程度分类见表3。</w:t>
      </w:r>
    </w:p>
    <w:p>
      <w:pPr>
        <w:tabs>
          <w:tab w:val="left" w:pos="1320"/>
        </w:tabs>
        <w:snapToGrid w:val="0"/>
        <w:spacing w:line="440" w:lineRule="exact"/>
        <w:jc w:val="center"/>
        <w:rPr>
          <w:rFonts w:ascii="宋体" w:hAnsi="宋体"/>
          <w:color w:val="auto"/>
          <w:szCs w:val="21"/>
        </w:rPr>
      </w:pPr>
      <w:r>
        <w:rPr>
          <w:rFonts w:hint="eastAsia" w:ascii="宋体" w:hAnsi="宋体"/>
          <w:color w:val="auto"/>
          <w:szCs w:val="21"/>
        </w:rPr>
        <w:t>表3检验项目及重要程度分类</w:t>
      </w:r>
    </w:p>
    <w:tbl>
      <w:tblPr>
        <w:tblStyle w:val="6"/>
        <w:tblW w:w="8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2505"/>
        <w:gridCol w:w="1581"/>
        <w:gridCol w:w="1946"/>
        <w:gridCol w:w="979"/>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blHeader/>
          <w:jc w:val="center"/>
        </w:trPr>
        <w:tc>
          <w:tcPr>
            <w:tcW w:w="506" w:type="dxa"/>
            <w:vMerge w:val="restart"/>
            <w:vAlign w:val="center"/>
          </w:tcPr>
          <w:p>
            <w:pPr>
              <w:snapToGrid w:val="0"/>
              <w:jc w:val="center"/>
              <w:rPr>
                <w:rFonts w:ascii="宋体" w:hAnsi="宋体"/>
                <w:b/>
                <w:color w:val="auto"/>
                <w:szCs w:val="21"/>
              </w:rPr>
            </w:pPr>
            <w:r>
              <w:rPr>
                <w:rFonts w:hint="eastAsia" w:ascii="宋体" w:hAnsi="宋体"/>
                <w:b/>
                <w:color w:val="auto"/>
                <w:szCs w:val="21"/>
              </w:rPr>
              <w:t>序号</w:t>
            </w:r>
          </w:p>
        </w:tc>
        <w:tc>
          <w:tcPr>
            <w:tcW w:w="2505" w:type="dxa"/>
            <w:vMerge w:val="restart"/>
            <w:vAlign w:val="center"/>
          </w:tcPr>
          <w:p>
            <w:pPr>
              <w:snapToGrid w:val="0"/>
              <w:jc w:val="center"/>
              <w:rPr>
                <w:rFonts w:ascii="宋体" w:hAnsi="宋体"/>
                <w:b/>
                <w:color w:val="auto"/>
                <w:szCs w:val="21"/>
              </w:rPr>
            </w:pPr>
            <w:r>
              <w:rPr>
                <w:rFonts w:hint="eastAsia" w:ascii="宋体" w:hAnsi="宋体"/>
                <w:b/>
                <w:color w:val="auto"/>
                <w:szCs w:val="21"/>
              </w:rPr>
              <w:t>检验项目</w:t>
            </w:r>
          </w:p>
        </w:tc>
        <w:tc>
          <w:tcPr>
            <w:tcW w:w="1581" w:type="dxa"/>
            <w:vMerge w:val="restart"/>
            <w:vAlign w:val="center"/>
          </w:tcPr>
          <w:p>
            <w:pPr>
              <w:snapToGrid w:val="0"/>
              <w:jc w:val="center"/>
              <w:rPr>
                <w:rFonts w:ascii="宋体" w:hAnsi="宋体"/>
                <w:b/>
                <w:color w:val="auto"/>
                <w:szCs w:val="21"/>
              </w:rPr>
            </w:pPr>
            <w:r>
              <w:rPr>
                <w:rFonts w:hint="eastAsia" w:ascii="宋体" w:hAnsi="宋体"/>
                <w:b/>
                <w:color w:val="auto"/>
                <w:szCs w:val="21"/>
              </w:rPr>
              <w:t>依据标准</w:t>
            </w:r>
          </w:p>
        </w:tc>
        <w:tc>
          <w:tcPr>
            <w:tcW w:w="1946" w:type="dxa"/>
            <w:vMerge w:val="restart"/>
            <w:vAlign w:val="center"/>
          </w:tcPr>
          <w:p>
            <w:pPr>
              <w:snapToGrid w:val="0"/>
              <w:jc w:val="center"/>
              <w:rPr>
                <w:rFonts w:ascii="宋体" w:hAnsi="宋体"/>
                <w:b/>
                <w:color w:val="auto"/>
                <w:szCs w:val="21"/>
              </w:rPr>
            </w:pPr>
            <w:r>
              <w:rPr>
                <w:rFonts w:hint="eastAsia" w:ascii="宋体" w:hAnsi="宋体"/>
                <w:b/>
                <w:color w:val="auto"/>
                <w:szCs w:val="21"/>
              </w:rPr>
              <w:t>检测方法</w:t>
            </w:r>
          </w:p>
        </w:tc>
        <w:tc>
          <w:tcPr>
            <w:tcW w:w="1959" w:type="dxa"/>
            <w:gridSpan w:val="2"/>
            <w:vAlign w:val="center"/>
          </w:tcPr>
          <w:p>
            <w:pPr>
              <w:snapToGrid w:val="0"/>
              <w:jc w:val="center"/>
              <w:rPr>
                <w:rFonts w:ascii="宋体" w:hAnsi="宋体"/>
                <w:b/>
                <w:color w:val="auto"/>
                <w:szCs w:val="21"/>
              </w:rPr>
            </w:pPr>
            <w:r>
              <w:rPr>
                <w:rFonts w:hint="eastAsia" w:ascii="宋体" w:hAnsi="宋体"/>
                <w:b/>
                <w:color w:val="auto"/>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blHeader/>
          <w:jc w:val="center"/>
        </w:trPr>
        <w:tc>
          <w:tcPr>
            <w:tcW w:w="506" w:type="dxa"/>
            <w:vMerge w:val="continue"/>
            <w:vAlign w:val="center"/>
          </w:tcPr>
          <w:p>
            <w:pPr>
              <w:snapToGrid w:val="0"/>
              <w:ind w:firstLine="420"/>
              <w:jc w:val="center"/>
              <w:rPr>
                <w:rFonts w:ascii="宋体" w:hAnsi="宋体"/>
                <w:b/>
                <w:color w:val="auto"/>
                <w:szCs w:val="21"/>
              </w:rPr>
            </w:pPr>
          </w:p>
        </w:tc>
        <w:tc>
          <w:tcPr>
            <w:tcW w:w="2505" w:type="dxa"/>
            <w:vMerge w:val="continue"/>
            <w:vAlign w:val="center"/>
          </w:tcPr>
          <w:p>
            <w:pPr>
              <w:snapToGrid w:val="0"/>
              <w:ind w:firstLine="420"/>
              <w:jc w:val="center"/>
              <w:rPr>
                <w:rFonts w:ascii="宋体" w:hAnsi="宋体"/>
                <w:b/>
                <w:color w:val="auto"/>
                <w:szCs w:val="21"/>
              </w:rPr>
            </w:pPr>
          </w:p>
        </w:tc>
        <w:tc>
          <w:tcPr>
            <w:tcW w:w="1581" w:type="dxa"/>
            <w:vMerge w:val="continue"/>
            <w:vAlign w:val="center"/>
          </w:tcPr>
          <w:p>
            <w:pPr>
              <w:snapToGrid w:val="0"/>
              <w:ind w:firstLine="420"/>
              <w:jc w:val="center"/>
              <w:rPr>
                <w:rFonts w:ascii="宋体" w:hAnsi="宋体"/>
                <w:b/>
                <w:color w:val="auto"/>
                <w:szCs w:val="21"/>
              </w:rPr>
            </w:pPr>
          </w:p>
        </w:tc>
        <w:tc>
          <w:tcPr>
            <w:tcW w:w="1946" w:type="dxa"/>
            <w:vMerge w:val="continue"/>
            <w:vAlign w:val="center"/>
          </w:tcPr>
          <w:p>
            <w:pPr>
              <w:snapToGrid w:val="0"/>
              <w:ind w:firstLine="420"/>
              <w:jc w:val="center"/>
              <w:rPr>
                <w:rFonts w:ascii="宋体" w:hAnsi="宋体"/>
                <w:b/>
                <w:color w:val="auto"/>
                <w:szCs w:val="21"/>
              </w:rPr>
            </w:pPr>
          </w:p>
        </w:tc>
        <w:tc>
          <w:tcPr>
            <w:tcW w:w="979" w:type="dxa"/>
            <w:vAlign w:val="center"/>
          </w:tcPr>
          <w:p>
            <w:pPr>
              <w:snapToGrid w:val="0"/>
              <w:jc w:val="center"/>
              <w:rPr>
                <w:rFonts w:ascii="宋体" w:hAnsi="宋体"/>
                <w:b/>
                <w:color w:val="auto"/>
                <w:szCs w:val="21"/>
              </w:rPr>
            </w:pPr>
            <w:r>
              <w:rPr>
                <w:rFonts w:hint="eastAsia" w:ascii="宋体" w:hAnsi="宋体"/>
                <w:b/>
                <w:color w:val="auto"/>
                <w:szCs w:val="21"/>
              </w:rPr>
              <w:t>A类</w:t>
            </w:r>
            <w:r>
              <w:rPr>
                <w:rFonts w:hint="eastAsia" w:ascii="宋体" w:hAnsi="宋体"/>
                <w:b/>
                <w:color w:val="auto"/>
                <w:szCs w:val="21"/>
                <w:vertAlign w:val="superscript"/>
              </w:rPr>
              <w:t>a</w:t>
            </w:r>
          </w:p>
        </w:tc>
        <w:tc>
          <w:tcPr>
            <w:tcW w:w="980" w:type="dxa"/>
            <w:vAlign w:val="center"/>
          </w:tcPr>
          <w:p>
            <w:pPr>
              <w:snapToGrid w:val="0"/>
              <w:jc w:val="center"/>
              <w:rPr>
                <w:rFonts w:ascii="宋体" w:hAnsi="宋体"/>
                <w:b/>
                <w:color w:val="auto"/>
                <w:szCs w:val="21"/>
              </w:rPr>
            </w:pPr>
            <w:r>
              <w:rPr>
                <w:rFonts w:hint="eastAsia" w:ascii="宋体" w:hAnsi="宋体"/>
                <w:b/>
                <w:color w:val="auto"/>
                <w:szCs w:val="21"/>
              </w:rPr>
              <w:t>B类</w:t>
            </w:r>
            <w:r>
              <w:rPr>
                <w:rFonts w:hint="eastAsia" w:ascii="宋体" w:hAnsi="宋体"/>
                <w:b/>
                <w:color w:val="auto"/>
                <w:szCs w:val="21"/>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blHeader/>
          <w:jc w:val="center"/>
        </w:trPr>
        <w:tc>
          <w:tcPr>
            <w:tcW w:w="506" w:type="dxa"/>
            <w:vAlign w:val="center"/>
          </w:tcPr>
          <w:p>
            <w:pPr>
              <w:snapToGrid w:val="0"/>
              <w:ind w:hanging="30"/>
              <w:jc w:val="center"/>
              <w:rPr>
                <w:rFonts w:ascii="宋体" w:hAnsi="宋体"/>
                <w:color w:val="auto"/>
                <w:szCs w:val="21"/>
              </w:rPr>
            </w:pPr>
            <w:r>
              <w:rPr>
                <w:rFonts w:hint="eastAsia" w:ascii="宋体" w:hAnsi="宋体"/>
                <w:color w:val="auto"/>
                <w:szCs w:val="21"/>
              </w:rPr>
              <w:t>1</w:t>
            </w:r>
          </w:p>
        </w:tc>
        <w:tc>
          <w:tcPr>
            <w:tcW w:w="2505" w:type="dxa"/>
            <w:vAlign w:val="center"/>
          </w:tcPr>
          <w:p>
            <w:pPr>
              <w:snapToGrid w:val="0"/>
              <w:jc w:val="center"/>
              <w:rPr>
                <w:rFonts w:ascii="宋体" w:hAnsi="宋体"/>
                <w:color w:val="auto"/>
                <w:szCs w:val="21"/>
              </w:rPr>
            </w:pPr>
            <w:r>
              <w:rPr>
                <w:rFonts w:hint="eastAsia" w:ascii="宋体" w:hAnsi="宋体" w:cs="宋体"/>
                <w:color w:val="auto"/>
                <w:kern w:val="0"/>
                <w:szCs w:val="21"/>
              </w:rPr>
              <w:t>感官要求</w:t>
            </w:r>
          </w:p>
        </w:tc>
        <w:tc>
          <w:tcPr>
            <w:tcW w:w="1581" w:type="dxa"/>
            <w:vMerge w:val="restart"/>
            <w:vAlign w:val="center"/>
          </w:tcPr>
          <w:p>
            <w:pPr>
              <w:jc w:val="center"/>
              <w:rPr>
                <w:rFonts w:ascii="宋体" w:hAnsi="宋体"/>
                <w:color w:val="auto"/>
                <w:szCs w:val="21"/>
              </w:rPr>
            </w:pPr>
            <w:r>
              <w:rPr>
                <w:rFonts w:ascii="宋体" w:hAnsi="宋体"/>
                <w:color w:val="auto"/>
                <w:szCs w:val="21"/>
              </w:rPr>
              <w:t>GB</w:t>
            </w:r>
            <w:r>
              <w:rPr>
                <w:rFonts w:hint="eastAsia" w:ascii="宋体" w:hAnsi="宋体"/>
                <w:color w:val="auto"/>
                <w:szCs w:val="21"/>
              </w:rPr>
              <w:t>4806.2-2015</w:t>
            </w:r>
          </w:p>
        </w:tc>
        <w:tc>
          <w:tcPr>
            <w:tcW w:w="1946" w:type="dxa"/>
            <w:vAlign w:val="center"/>
          </w:tcPr>
          <w:p>
            <w:pPr>
              <w:snapToGrid w:val="0"/>
              <w:jc w:val="center"/>
              <w:rPr>
                <w:rFonts w:ascii="宋体" w:hAnsi="宋体"/>
                <w:color w:val="auto"/>
                <w:szCs w:val="21"/>
              </w:rPr>
            </w:pPr>
            <w:r>
              <w:rPr>
                <w:rFonts w:ascii="宋体" w:hAnsi="宋体"/>
                <w:color w:val="auto"/>
                <w:szCs w:val="21"/>
              </w:rPr>
              <w:t>GB</w:t>
            </w:r>
            <w:r>
              <w:rPr>
                <w:rFonts w:hint="eastAsia" w:ascii="宋体" w:hAnsi="宋体"/>
                <w:color w:val="auto"/>
                <w:szCs w:val="21"/>
              </w:rPr>
              <w:t>4806.2-2015</w:t>
            </w:r>
          </w:p>
        </w:tc>
        <w:tc>
          <w:tcPr>
            <w:tcW w:w="979" w:type="dxa"/>
            <w:vAlign w:val="center"/>
          </w:tcPr>
          <w:p>
            <w:pPr>
              <w:snapToGrid w:val="0"/>
              <w:jc w:val="center"/>
              <w:rPr>
                <w:rFonts w:ascii="宋体" w:hAnsi="宋体"/>
                <w:color w:val="auto"/>
                <w:szCs w:val="21"/>
              </w:rPr>
            </w:pPr>
            <w:r>
              <w:rPr>
                <w:rFonts w:hint="eastAsia" w:ascii="宋体" w:hAnsi="宋体"/>
                <w:color w:val="auto"/>
                <w:szCs w:val="21"/>
              </w:rPr>
              <w:t>●</w:t>
            </w:r>
          </w:p>
        </w:tc>
        <w:tc>
          <w:tcPr>
            <w:tcW w:w="98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506" w:type="dxa"/>
            <w:vMerge w:val="restart"/>
            <w:vAlign w:val="center"/>
          </w:tcPr>
          <w:p>
            <w:pPr>
              <w:snapToGrid w:val="0"/>
              <w:ind w:hanging="30"/>
              <w:jc w:val="center"/>
              <w:rPr>
                <w:rFonts w:ascii="宋体" w:hAnsi="宋体"/>
                <w:color w:val="auto"/>
                <w:szCs w:val="21"/>
              </w:rPr>
            </w:pPr>
            <w:r>
              <w:rPr>
                <w:rFonts w:hint="eastAsia" w:ascii="宋体" w:hAnsi="宋体"/>
                <w:color w:val="auto"/>
                <w:szCs w:val="21"/>
              </w:rPr>
              <w:t>2</w:t>
            </w:r>
          </w:p>
        </w:tc>
        <w:tc>
          <w:tcPr>
            <w:tcW w:w="2505" w:type="dxa"/>
            <w:vAlign w:val="center"/>
          </w:tcPr>
          <w:p>
            <w:pPr>
              <w:snapToGrid w:val="0"/>
              <w:jc w:val="center"/>
              <w:rPr>
                <w:rFonts w:ascii="宋体" w:hAnsi="宋体"/>
                <w:color w:val="auto"/>
                <w:szCs w:val="21"/>
              </w:rPr>
            </w:pPr>
            <w:r>
              <w:rPr>
                <w:rFonts w:hint="eastAsia" w:ascii="宋体" w:hAnsi="宋体" w:cs="宋体"/>
                <w:color w:val="auto"/>
                <w:kern w:val="0"/>
                <w:szCs w:val="21"/>
              </w:rPr>
              <w:t>总迁移量（蒸馏水，40℃,24h）</w:t>
            </w:r>
          </w:p>
        </w:tc>
        <w:tc>
          <w:tcPr>
            <w:tcW w:w="1581" w:type="dxa"/>
            <w:vMerge w:val="continue"/>
            <w:vAlign w:val="center"/>
          </w:tcPr>
          <w:p>
            <w:pPr>
              <w:jc w:val="center"/>
              <w:rPr>
                <w:rFonts w:ascii="宋体" w:hAnsi="宋体"/>
                <w:color w:val="auto"/>
                <w:szCs w:val="21"/>
              </w:rPr>
            </w:pPr>
          </w:p>
        </w:tc>
        <w:tc>
          <w:tcPr>
            <w:tcW w:w="1946" w:type="dxa"/>
            <w:vAlign w:val="center"/>
          </w:tcPr>
          <w:p>
            <w:pPr>
              <w:snapToGrid w:val="0"/>
              <w:jc w:val="center"/>
              <w:rPr>
                <w:rFonts w:ascii="宋体" w:hAnsi="宋体"/>
                <w:color w:val="auto"/>
                <w:szCs w:val="21"/>
              </w:rPr>
            </w:pPr>
            <w:r>
              <w:rPr>
                <w:rFonts w:hint="eastAsia" w:ascii="宋体" w:hAnsi="宋体"/>
                <w:color w:val="auto"/>
                <w:szCs w:val="21"/>
              </w:rPr>
              <w:t>GB 31604.8-2016</w:t>
            </w:r>
          </w:p>
        </w:tc>
        <w:tc>
          <w:tcPr>
            <w:tcW w:w="979" w:type="dxa"/>
            <w:vAlign w:val="center"/>
          </w:tcPr>
          <w:p>
            <w:pPr>
              <w:snapToGrid w:val="0"/>
              <w:jc w:val="center"/>
              <w:rPr>
                <w:rFonts w:ascii="宋体" w:hAnsi="宋体"/>
                <w:color w:val="auto"/>
                <w:szCs w:val="21"/>
              </w:rPr>
            </w:pPr>
            <w:r>
              <w:rPr>
                <w:rFonts w:hint="eastAsia" w:ascii="宋体" w:hAnsi="宋体"/>
                <w:color w:val="auto"/>
                <w:szCs w:val="21"/>
              </w:rPr>
              <w:t>●</w:t>
            </w:r>
          </w:p>
        </w:tc>
        <w:tc>
          <w:tcPr>
            <w:tcW w:w="98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506" w:type="dxa"/>
            <w:vMerge w:val="continue"/>
            <w:vAlign w:val="center"/>
          </w:tcPr>
          <w:p>
            <w:pPr>
              <w:snapToGrid w:val="0"/>
              <w:ind w:hanging="30"/>
              <w:jc w:val="center"/>
              <w:rPr>
                <w:rFonts w:ascii="宋体" w:hAnsi="宋体"/>
                <w:color w:val="auto"/>
                <w:szCs w:val="21"/>
              </w:rPr>
            </w:pPr>
          </w:p>
        </w:tc>
        <w:tc>
          <w:tcPr>
            <w:tcW w:w="2505" w:type="dxa"/>
            <w:vAlign w:val="center"/>
          </w:tcPr>
          <w:p>
            <w:pPr>
              <w:snapToGrid w:val="0"/>
              <w:jc w:val="center"/>
              <w:rPr>
                <w:rFonts w:ascii="宋体" w:hAnsi="宋体" w:cs="宋体"/>
                <w:color w:val="auto"/>
                <w:kern w:val="0"/>
                <w:szCs w:val="21"/>
              </w:rPr>
            </w:pPr>
            <w:r>
              <w:rPr>
                <w:rFonts w:hint="eastAsia" w:ascii="宋体" w:hAnsi="宋体" w:cs="宋体"/>
                <w:color w:val="auto"/>
                <w:kern w:val="0"/>
                <w:szCs w:val="21"/>
              </w:rPr>
              <w:t>总迁移量[50%(体积分数)乙醇，40℃,24h]</w:t>
            </w:r>
          </w:p>
        </w:tc>
        <w:tc>
          <w:tcPr>
            <w:tcW w:w="1581" w:type="dxa"/>
            <w:vMerge w:val="continue"/>
            <w:vAlign w:val="center"/>
          </w:tcPr>
          <w:p>
            <w:pPr>
              <w:jc w:val="center"/>
              <w:rPr>
                <w:rFonts w:ascii="宋体" w:hAnsi="宋体"/>
                <w:color w:val="auto"/>
                <w:szCs w:val="21"/>
              </w:rPr>
            </w:pPr>
          </w:p>
        </w:tc>
        <w:tc>
          <w:tcPr>
            <w:tcW w:w="1946" w:type="dxa"/>
            <w:vAlign w:val="center"/>
          </w:tcPr>
          <w:p>
            <w:pPr>
              <w:snapToGrid w:val="0"/>
              <w:jc w:val="center"/>
              <w:rPr>
                <w:rFonts w:ascii="宋体" w:hAnsi="宋体"/>
                <w:color w:val="auto"/>
                <w:szCs w:val="21"/>
              </w:rPr>
            </w:pPr>
            <w:r>
              <w:rPr>
                <w:rFonts w:hint="eastAsia" w:ascii="宋体" w:hAnsi="宋体"/>
                <w:color w:val="auto"/>
                <w:szCs w:val="21"/>
              </w:rPr>
              <w:t>GB 31604.8-2016</w:t>
            </w:r>
          </w:p>
        </w:tc>
        <w:tc>
          <w:tcPr>
            <w:tcW w:w="979" w:type="dxa"/>
            <w:vAlign w:val="center"/>
          </w:tcPr>
          <w:p>
            <w:pPr>
              <w:snapToGrid w:val="0"/>
              <w:jc w:val="center"/>
              <w:rPr>
                <w:rFonts w:ascii="宋体" w:hAnsi="宋体"/>
                <w:color w:val="auto"/>
                <w:szCs w:val="21"/>
              </w:rPr>
            </w:pPr>
            <w:r>
              <w:rPr>
                <w:rFonts w:hint="eastAsia" w:ascii="宋体" w:hAnsi="宋体"/>
                <w:color w:val="auto"/>
                <w:szCs w:val="21"/>
              </w:rPr>
              <w:t>●</w:t>
            </w:r>
          </w:p>
        </w:tc>
        <w:tc>
          <w:tcPr>
            <w:tcW w:w="98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506" w:type="dxa"/>
            <w:vMerge w:val="continue"/>
            <w:vAlign w:val="center"/>
          </w:tcPr>
          <w:p>
            <w:pPr>
              <w:snapToGrid w:val="0"/>
              <w:ind w:hanging="30"/>
              <w:jc w:val="center"/>
              <w:rPr>
                <w:rFonts w:ascii="宋体" w:hAnsi="宋体"/>
                <w:color w:val="auto"/>
                <w:szCs w:val="21"/>
              </w:rPr>
            </w:pPr>
          </w:p>
        </w:tc>
        <w:tc>
          <w:tcPr>
            <w:tcW w:w="2505" w:type="dxa"/>
            <w:vAlign w:val="center"/>
          </w:tcPr>
          <w:p>
            <w:pPr>
              <w:snapToGrid w:val="0"/>
              <w:jc w:val="center"/>
              <w:rPr>
                <w:rFonts w:ascii="宋体" w:hAnsi="宋体" w:cs="宋体"/>
                <w:color w:val="auto"/>
                <w:kern w:val="0"/>
                <w:szCs w:val="21"/>
              </w:rPr>
            </w:pPr>
            <w:r>
              <w:rPr>
                <w:rFonts w:hint="eastAsia" w:ascii="宋体" w:hAnsi="宋体" w:cs="宋体"/>
                <w:color w:val="auto"/>
                <w:kern w:val="0"/>
                <w:szCs w:val="21"/>
              </w:rPr>
              <w:t>总迁移量[4%(体积分数)乙酸，40℃,24h]</w:t>
            </w:r>
          </w:p>
        </w:tc>
        <w:tc>
          <w:tcPr>
            <w:tcW w:w="1581" w:type="dxa"/>
            <w:vMerge w:val="continue"/>
            <w:vAlign w:val="center"/>
          </w:tcPr>
          <w:p>
            <w:pPr>
              <w:jc w:val="center"/>
              <w:rPr>
                <w:rFonts w:ascii="宋体" w:hAnsi="宋体"/>
                <w:color w:val="auto"/>
                <w:szCs w:val="21"/>
              </w:rPr>
            </w:pPr>
          </w:p>
        </w:tc>
        <w:tc>
          <w:tcPr>
            <w:tcW w:w="1946" w:type="dxa"/>
            <w:vAlign w:val="center"/>
          </w:tcPr>
          <w:p>
            <w:pPr>
              <w:snapToGrid w:val="0"/>
              <w:jc w:val="center"/>
              <w:rPr>
                <w:rFonts w:ascii="宋体" w:hAnsi="宋体"/>
                <w:color w:val="auto"/>
                <w:szCs w:val="21"/>
              </w:rPr>
            </w:pPr>
            <w:r>
              <w:rPr>
                <w:rFonts w:hint="eastAsia" w:ascii="宋体" w:hAnsi="宋体"/>
                <w:color w:val="auto"/>
                <w:szCs w:val="21"/>
              </w:rPr>
              <w:t>GB 31604.8-2016</w:t>
            </w:r>
          </w:p>
        </w:tc>
        <w:tc>
          <w:tcPr>
            <w:tcW w:w="979" w:type="dxa"/>
            <w:vAlign w:val="center"/>
          </w:tcPr>
          <w:p>
            <w:pPr>
              <w:snapToGrid w:val="0"/>
              <w:jc w:val="center"/>
              <w:rPr>
                <w:rFonts w:ascii="宋体" w:hAnsi="宋体"/>
                <w:color w:val="auto"/>
                <w:szCs w:val="21"/>
              </w:rPr>
            </w:pPr>
            <w:r>
              <w:rPr>
                <w:rFonts w:hint="eastAsia" w:ascii="宋体" w:hAnsi="宋体"/>
                <w:color w:val="auto"/>
                <w:szCs w:val="21"/>
              </w:rPr>
              <w:t>●</w:t>
            </w:r>
          </w:p>
        </w:tc>
        <w:tc>
          <w:tcPr>
            <w:tcW w:w="98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506" w:type="dxa"/>
            <w:vAlign w:val="center"/>
          </w:tcPr>
          <w:p>
            <w:pPr>
              <w:snapToGrid w:val="0"/>
              <w:ind w:hanging="30"/>
              <w:jc w:val="center"/>
              <w:rPr>
                <w:rFonts w:ascii="宋体" w:hAnsi="宋体"/>
                <w:color w:val="auto"/>
                <w:szCs w:val="21"/>
              </w:rPr>
            </w:pPr>
            <w:r>
              <w:rPr>
                <w:rFonts w:hint="eastAsia" w:ascii="宋体" w:hAnsi="宋体"/>
                <w:color w:val="auto"/>
                <w:szCs w:val="21"/>
              </w:rPr>
              <w:t>3</w:t>
            </w:r>
          </w:p>
        </w:tc>
        <w:tc>
          <w:tcPr>
            <w:tcW w:w="2505" w:type="dxa"/>
            <w:vAlign w:val="center"/>
          </w:tcPr>
          <w:p>
            <w:pPr>
              <w:snapToGrid w:val="0"/>
              <w:jc w:val="center"/>
              <w:rPr>
                <w:rFonts w:ascii="宋体" w:hAnsi="宋体"/>
                <w:color w:val="auto"/>
                <w:szCs w:val="21"/>
              </w:rPr>
            </w:pPr>
            <w:r>
              <w:rPr>
                <w:rFonts w:hint="eastAsia" w:ascii="宋体" w:hAnsi="宋体" w:cs="宋体"/>
                <w:color w:val="auto"/>
                <w:kern w:val="0"/>
                <w:szCs w:val="21"/>
              </w:rPr>
              <w:t>高锰酸钾消耗量</w:t>
            </w:r>
          </w:p>
        </w:tc>
        <w:tc>
          <w:tcPr>
            <w:tcW w:w="1581" w:type="dxa"/>
            <w:vMerge w:val="continue"/>
            <w:vAlign w:val="center"/>
          </w:tcPr>
          <w:p>
            <w:pPr>
              <w:jc w:val="center"/>
              <w:rPr>
                <w:rFonts w:ascii="宋体" w:hAnsi="宋体"/>
                <w:color w:val="auto"/>
                <w:szCs w:val="21"/>
              </w:rPr>
            </w:pPr>
          </w:p>
        </w:tc>
        <w:tc>
          <w:tcPr>
            <w:tcW w:w="1946" w:type="dxa"/>
            <w:vAlign w:val="center"/>
          </w:tcPr>
          <w:p>
            <w:pPr>
              <w:snapToGrid w:val="0"/>
              <w:jc w:val="center"/>
              <w:rPr>
                <w:rFonts w:ascii="宋体" w:hAnsi="宋体"/>
                <w:color w:val="auto"/>
                <w:szCs w:val="21"/>
              </w:rPr>
            </w:pPr>
            <w:r>
              <w:rPr>
                <w:rFonts w:hint="eastAsia" w:ascii="宋体" w:hAnsi="宋体"/>
                <w:color w:val="auto"/>
                <w:szCs w:val="21"/>
              </w:rPr>
              <w:t>GB 31604.2-2016</w:t>
            </w:r>
          </w:p>
        </w:tc>
        <w:tc>
          <w:tcPr>
            <w:tcW w:w="979" w:type="dxa"/>
            <w:vAlign w:val="center"/>
          </w:tcPr>
          <w:p>
            <w:pPr>
              <w:snapToGrid w:val="0"/>
              <w:jc w:val="center"/>
              <w:rPr>
                <w:rFonts w:ascii="宋体" w:hAnsi="宋体"/>
                <w:color w:val="auto"/>
                <w:szCs w:val="21"/>
              </w:rPr>
            </w:pPr>
            <w:r>
              <w:rPr>
                <w:rFonts w:hint="eastAsia" w:ascii="宋体" w:hAnsi="宋体"/>
                <w:color w:val="auto"/>
                <w:szCs w:val="21"/>
              </w:rPr>
              <w:t>●</w:t>
            </w:r>
          </w:p>
        </w:tc>
        <w:tc>
          <w:tcPr>
            <w:tcW w:w="98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506" w:type="dxa"/>
            <w:vAlign w:val="center"/>
          </w:tcPr>
          <w:p>
            <w:pPr>
              <w:snapToGrid w:val="0"/>
              <w:ind w:hanging="30"/>
              <w:jc w:val="center"/>
              <w:rPr>
                <w:rFonts w:ascii="宋体" w:hAnsi="宋体"/>
                <w:color w:val="auto"/>
                <w:szCs w:val="21"/>
              </w:rPr>
            </w:pPr>
            <w:r>
              <w:rPr>
                <w:rFonts w:hint="eastAsia" w:ascii="宋体" w:hAnsi="宋体"/>
                <w:color w:val="auto"/>
                <w:szCs w:val="21"/>
              </w:rPr>
              <w:t>4</w:t>
            </w:r>
          </w:p>
        </w:tc>
        <w:tc>
          <w:tcPr>
            <w:tcW w:w="2505" w:type="dxa"/>
            <w:vAlign w:val="center"/>
          </w:tcPr>
          <w:p>
            <w:pPr>
              <w:snapToGrid w:val="0"/>
              <w:jc w:val="center"/>
              <w:rPr>
                <w:rFonts w:ascii="宋体" w:hAnsi="宋体"/>
                <w:color w:val="auto"/>
                <w:szCs w:val="21"/>
              </w:rPr>
            </w:pPr>
            <w:r>
              <w:rPr>
                <w:rFonts w:hint="eastAsia" w:ascii="宋体" w:hAnsi="宋体" w:cs="宋体"/>
                <w:color w:val="auto"/>
                <w:kern w:val="0"/>
                <w:szCs w:val="21"/>
              </w:rPr>
              <w:t>重金属（以Pb计）</w:t>
            </w:r>
          </w:p>
        </w:tc>
        <w:tc>
          <w:tcPr>
            <w:tcW w:w="1581" w:type="dxa"/>
            <w:vMerge w:val="continue"/>
            <w:vAlign w:val="center"/>
          </w:tcPr>
          <w:p>
            <w:pPr>
              <w:jc w:val="center"/>
              <w:rPr>
                <w:rFonts w:ascii="宋体" w:hAnsi="宋体"/>
                <w:color w:val="auto"/>
                <w:szCs w:val="21"/>
              </w:rPr>
            </w:pPr>
          </w:p>
        </w:tc>
        <w:tc>
          <w:tcPr>
            <w:tcW w:w="1946" w:type="dxa"/>
            <w:vAlign w:val="center"/>
          </w:tcPr>
          <w:p>
            <w:pPr>
              <w:snapToGrid w:val="0"/>
              <w:jc w:val="center"/>
              <w:rPr>
                <w:rFonts w:ascii="宋体" w:hAnsi="宋体"/>
                <w:color w:val="auto"/>
                <w:szCs w:val="21"/>
              </w:rPr>
            </w:pPr>
            <w:r>
              <w:rPr>
                <w:rFonts w:hint="eastAsia" w:ascii="宋体" w:hAnsi="宋体"/>
                <w:color w:val="auto"/>
                <w:szCs w:val="21"/>
              </w:rPr>
              <w:t>GB 31604.9-2016</w:t>
            </w:r>
          </w:p>
        </w:tc>
        <w:tc>
          <w:tcPr>
            <w:tcW w:w="979" w:type="dxa"/>
            <w:vAlign w:val="center"/>
          </w:tcPr>
          <w:p>
            <w:pPr>
              <w:snapToGrid w:val="0"/>
              <w:jc w:val="center"/>
              <w:rPr>
                <w:rFonts w:ascii="宋体" w:hAnsi="宋体"/>
                <w:color w:val="auto"/>
                <w:szCs w:val="21"/>
              </w:rPr>
            </w:pPr>
            <w:r>
              <w:rPr>
                <w:rFonts w:hint="eastAsia" w:ascii="宋体" w:hAnsi="宋体"/>
                <w:color w:val="auto"/>
                <w:szCs w:val="21"/>
              </w:rPr>
              <w:t>●</w:t>
            </w:r>
          </w:p>
        </w:tc>
        <w:tc>
          <w:tcPr>
            <w:tcW w:w="98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506" w:type="dxa"/>
            <w:vAlign w:val="center"/>
          </w:tcPr>
          <w:p>
            <w:pPr>
              <w:snapToGrid w:val="0"/>
              <w:ind w:hanging="30"/>
              <w:jc w:val="center"/>
              <w:rPr>
                <w:rFonts w:ascii="宋体" w:hAnsi="宋体"/>
                <w:color w:val="auto"/>
                <w:szCs w:val="21"/>
              </w:rPr>
            </w:pPr>
            <w:r>
              <w:rPr>
                <w:rFonts w:hint="eastAsia" w:ascii="宋体" w:hAnsi="宋体"/>
                <w:color w:val="auto"/>
                <w:szCs w:val="21"/>
              </w:rPr>
              <w:t>5</w:t>
            </w:r>
          </w:p>
        </w:tc>
        <w:tc>
          <w:tcPr>
            <w:tcW w:w="2505" w:type="dxa"/>
            <w:vAlign w:val="center"/>
          </w:tcPr>
          <w:p>
            <w:pPr>
              <w:snapToGrid w:val="0"/>
              <w:jc w:val="center"/>
              <w:rPr>
                <w:rFonts w:ascii="宋体" w:hAnsi="宋体"/>
                <w:color w:val="auto"/>
                <w:szCs w:val="21"/>
              </w:rPr>
            </w:pPr>
            <w:r>
              <w:rPr>
                <w:rFonts w:hint="eastAsia" w:ascii="宋体" w:hAnsi="宋体" w:cs="宋体"/>
                <w:color w:val="auto"/>
                <w:kern w:val="0"/>
                <w:szCs w:val="21"/>
              </w:rPr>
              <w:t>挥发性物质（仅适用于硅橡胶奶嘴）</w:t>
            </w:r>
          </w:p>
        </w:tc>
        <w:tc>
          <w:tcPr>
            <w:tcW w:w="1581" w:type="dxa"/>
            <w:vMerge w:val="continue"/>
            <w:vAlign w:val="center"/>
          </w:tcPr>
          <w:p>
            <w:pPr>
              <w:jc w:val="center"/>
              <w:rPr>
                <w:rFonts w:ascii="宋体" w:hAnsi="宋体"/>
                <w:color w:val="auto"/>
                <w:szCs w:val="21"/>
              </w:rPr>
            </w:pPr>
          </w:p>
        </w:tc>
        <w:tc>
          <w:tcPr>
            <w:tcW w:w="1946" w:type="dxa"/>
            <w:vAlign w:val="center"/>
          </w:tcPr>
          <w:p>
            <w:pPr>
              <w:snapToGrid w:val="0"/>
              <w:jc w:val="center"/>
              <w:rPr>
                <w:rFonts w:ascii="宋体" w:hAnsi="宋体"/>
                <w:color w:val="auto"/>
                <w:szCs w:val="21"/>
              </w:rPr>
            </w:pPr>
            <w:r>
              <w:rPr>
                <w:rFonts w:hint="eastAsia" w:ascii="宋体" w:hAnsi="宋体"/>
                <w:color w:val="auto"/>
                <w:szCs w:val="21"/>
              </w:rPr>
              <w:t>GB 28482-2012</w:t>
            </w:r>
          </w:p>
        </w:tc>
        <w:tc>
          <w:tcPr>
            <w:tcW w:w="979" w:type="dxa"/>
            <w:vAlign w:val="center"/>
          </w:tcPr>
          <w:p>
            <w:pPr>
              <w:snapToGrid w:val="0"/>
              <w:jc w:val="center"/>
              <w:rPr>
                <w:rFonts w:ascii="宋体" w:hAnsi="宋体"/>
                <w:color w:val="auto"/>
                <w:szCs w:val="21"/>
              </w:rPr>
            </w:pPr>
            <w:r>
              <w:rPr>
                <w:rFonts w:hint="eastAsia" w:ascii="宋体" w:hAnsi="宋体"/>
                <w:color w:val="auto"/>
                <w:szCs w:val="21"/>
              </w:rPr>
              <w:t>●</w:t>
            </w:r>
          </w:p>
        </w:tc>
        <w:tc>
          <w:tcPr>
            <w:tcW w:w="98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jc w:val="center"/>
        </w:trPr>
        <w:tc>
          <w:tcPr>
            <w:tcW w:w="8497" w:type="dxa"/>
            <w:gridSpan w:val="6"/>
            <w:vAlign w:val="center"/>
          </w:tcPr>
          <w:p>
            <w:pPr>
              <w:snapToGrid w:val="0"/>
              <w:rPr>
                <w:rFonts w:ascii="宋体" w:hAnsi="宋体"/>
                <w:color w:val="auto"/>
                <w:szCs w:val="21"/>
              </w:rPr>
            </w:pPr>
            <w:r>
              <w:rPr>
                <w:rFonts w:ascii="宋体" w:hAnsi="宋体"/>
                <w:color w:val="auto"/>
                <w:szCs w:val="21"/>
              </w:rPr>
              <w:t>a</w:t>
            </w:r>
            <w:r>
              <w:rPr>
                <w:rFonts w:hint="eastAsia" w:ascii="宋体" w:hAnsi="宋体"/>
                <w:color w:val="auto"/>
                <w:szCs w:val="21"/>
              </w:rPr>
              <w:t xml:space="preserve"> 极重要质量项目</w:t>
            </w:r>
          </w:p>
          <w:p>
            <w:pPr>
              <w:snapToGrid w:val="0"/>
              <w:rPr>
                <w:rFonts w:ascii="宋体" w:hAnsi="宋体"/>
                <w:color w:val="auto"/>
                <w:szCs w:val="21"/>
              </w:rPr>
            </w:pPr>
            <w:r>
              <w:rPr>
                <w:rFonts w:ascii="宋体" w:hAnsi="宋体"/>
                <w:color w:val="auto"/>
                <w:szCs w:val="21"/>
              </w:rPr>
              <w:t>b</w:t>
            </w:r>
            <w:r>
              <w:rPr>
                <w:rFonts w:hint="eastAsia" w:ascii="宋体" w:hAnsi="宋体"/>
                <w:color w:val="auto"/>
                <w:szCs w:val="21"/>
              </w:rPr>
              <w:t xml:space="preserve"> 重要质量项目</w:t>
            </w:r>
          </w:p>
        </w:tc>
      </w:tr>
    </w:tbl>
    <w:p>
      <w:pPr>
        <w:snapToGrid w:val="0"/>
        <w:spacing w:line="440" w:lineRule="exact"/>
        <w:ind w:firstLine="420" w:firstLineChars="200"/>
        <w:rPr>
          <w:rFonts w:ascii="宋体" w:hAnsi="宋体"/>
          <w:color w:val="auto"/>
          <w:szCs w:val="21"/>
        </w:rPr>
      </w:pPr>
      <w:r>
        <w:rPr>
          <w:rFonts w:hint="eastAsia" w:ascii="宋体" w:hAnsi="宋体"/>
          <w:color w:val="auto"/>
          <w:szCs w:val="21"/>
        </w:rPr>
        <w:t>注：①极重要质量项目是指直接涉及人体健康、使用安全的指标；重要质量项目是指产品涉及环保、能效、关键性能或特征值的指标。</w:t>
      </w:r>
    </w:p>
    <w:p>
      <w:pPr>
        <w:snapToGrid w:val="0"/>
        <w:spacing w:line="440" w:lineRule="exact"/>
        <w:ind w:firstLine="420" w:firstLineChars="200"/>
        <w:rPr>
          <w:rFonts w:ascii="宋体" w:hAnsi="宋体"/>
          <w:color w:val="auto"/>
          <w:szCs w:val="21"/>
        </w:rPr>
      </w:pPr>
      <w:r>
        <w:rPr>
          <w:rFonts w:hint="eastAsia" w:ascii="宋体" w:hAnsi="宋体"/>
          <w:color w:val="auto"/>
          <w:szCs w:val="21"/>
        </w:rPr>
        <w:t>②上表所列检验项目是有关法律法规、标准等规定的，重点涉及健康、安全、节能、环保</w:t>
      </w:r>
      <w:r>
        <w:rPr>
          <w:rFonts w:ascii="ˎ̥" w:hAnsi="ˎ̥" w:cs="宋体"/>
          <w:color w:val="auto"/>
          <w:kern w:val="0"/>
          <w:szCs w:val="21"/>
        </w:rPr>
        <w:t>以及消费者、有关组织反映有质量问题</w:t>
      </w:r>
      <w:r>
        <w:rPr>
          <w:rFonts w:hint="eastAsia" w:ascii="ˎ̥" w:hAnsi="ˎ̥" w:cs="宋体"/>
          <w:color w:val="auto"/>
          <w:kern w:val="0"/>
          <w:szCs w:val="21"/>
        </w:rPr>
        <w:t>的</w:t>
      </w:r>
      <w:r>
        <w:rPr>
          <w:rFonts w:hint="eastAsia" w:ascii="宋体" w:hAnsi="宋体"/>
          <w:color w:val="auto"/>
          <w:szCs w:val="21"/>
        </w:rPr>
        <w:t>重要项目。</w:t>
      </w:r>
    </w:p>
    <w:p>
      <w:pPr>
        <w:widowControl/>
        <w:spacing w:line="440" w:lineRule="exact"/>
        <w:jc w:val="left"/>
        <w:rPr>
          <w:rFonts w:ascii="宋体" w:hAnsi="宋体"/>
          <w:color w:val="auto"/>
          <w:szCs w:val="21"/>
        </w:rPr>
      </w:pPr>
      <w:r>
        <w:rPr>
          <w:rFonts w:hint="eastAsia" w:ascii="宋体" w:hAnsi="宋体"/>
          <w:color w:val="auto"/>
          <w:szCs w:val="21"/>
        </w:rPr>
        <w:t>7.2 检验应注意的问题</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若被检产品明示的质量要求高于本细则中检验项目依据的标准要求时，应按被检产品明示的质量要求判定；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若被检产品明示的质量要求低于或包含细则中检验项目依据的推荐性标准要求时，应以被检产品明示的质量要求判定；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若被检产品明示的质量要求缺少本细则中检验项目依据的推荐性标准要求时，该项目不参与判定，但应在检验报告备注中进行说明。</w:t>
      </w:r>
    </w:p>
    <w:p>
      <w:pPr>
        <w:snapToGrid w:val="0"/>
        <w:spacing w:line="440" w:lineRule="exact"/>
        <w:rPr>
          <w:rFonts w:ascii="黑体" w:hAnsi="宋体" w:eastAsia="黑体"/>
          <w:b/>
          <w:color w:val="auto"/>
          <w:szCs w:val="21"/>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8判定原则</w:t>
      </w:r>
    </w:p>
    <w:p>
      <w:pPr>
        <w:widowControl/>
        <w:spacing w:line="440" w:lineRule="exact"/>
        <w:rPr>
          <w:rFonts w:ascii="宋体" w:hAnsi="宋体"/>
          <w:color w:val="auto"/>
          <w:szCs w:val="21"/>
        </w:rPr>
      </w:pPr>
      <w:r>
        <w:rPr>
          <w:rFonts w:hint="eastAsia" w:ascii="宋体" w:hAnsi="宋体"/>
          <w:color w:val="auto"/>
          <w:szCs w:val="21"/>
        </w:rPr>
        <w:t>8.</w:t>
      </w:r>
      <w:r>
        <w:rPr>
          <w:rFonts w:ascii="宋体" w:hAnsi="宋体"/>
          <w:color w:val="auto"/>
          <w:szCs w:val="21"/>
        </w:rPr>
        <w:t>1</w:t>
      </w:r>
      <w:r>
        <w:rPr>
          <w:rFonts w:hint="eastAsia" w:ascii="宋体" w:hAnsi="宋体"/>
          <w:color w:val="auto"/>
          <w:szCs w:val="21"/>
        </w:rPr>
        <w:t xml:space="preserve"> 经检验，若被抽产品所有检验项目全部合格，检验报告中的检验结论表述为:““依据桂市监函〔xxxx〕</w:t>
      </w:r>
      <w:r>
        <w:rPr>
          <w:rFonts w:ascii="宋体" w:hAnsi="宋体"/>
          <w:color w:val="auto"/>
          <w:szCs w:val="21"/>
        </w:rPr>
        <w:t>xx</w:t>
      </w:r>
      <w:r>
        <w:rPr>
          <w:rFonts w:hint="eastAsia" w:ascii="宋体" w:hAnsi="宋体"/>
          <w:color w:val="auto"/>
          <w:szCs w:val="21"/>
        </w:rPr>
        <w:t>号文中《2020年奶嘴产品质量广西监督抽查实施细则》要求，对所抽样品的</w:t>
      </w:r>
      <w:r>
        <w:rPr>
          <w:rFonts w:ascii="宋体" w:hAnsi="宋体"/>
          <w:color w:val="auto"/>
          <w:szCs w:val="21"/>
        </w:rPr>
        <w:t>xx</w:t>
      </w:r>
      <w:r>
        <w:rPr>
          <w:rFonts w:hint="eastAsia" w:ascii="宋体" w:hAnsi="宋体"/>
          <w:color w:val="auto"/>
          <w:szCs w:val="21"/>
        </w:rPr>
        <w:t>个项目进行了检验，检验结果符合</w:t>
      </w:r>
      <w:r>
        <w:rPr>
          <w:rFonts w:ascii="宋体" w:hAnsi="宋体"/>
          <w:color w:val="auto"/>
          <w:szCs w:val="21"/>
        </w:rPr>
        <w:t>xx</w:t>
      </w:r>
      <w:r>
        <w:rPr>
          <w:rFonts w:hint="eastAsia" w:ascii="宋体" w:hAnsi="宋体"/>
          <w:color w:val="auto"/>
          <w:szCs w:val="21"/>
        </w:rPr>
        <w:t>标准号《国家标准、行业标准名称》要求。综合判定：该产品本次监督抽查合格。”</w:t>
      </w:r>
    </w:p>
    <w:p>
      <w:pPr>
        <w:snapToGrid w:val="0"/>
        <w:spacing w:line="440" w:lineRule="exact"/>
        <w:rPr>
          <w:rFonts w:ascii="宋体" w:hAnsi="宋体"/>
          <w:color w:val="auto"/>
          <w:szCs w:val="21"/>
        </w:rPr>
      </w:pPr>
      <w:r>
        <w:rPr>
          <w:rFonts w:hint="eastAsia" w:ascii="宋体" w:hAnsi="宋体"/>
          <w:color w:val="auto"/>
          <w:szCs w:val="21"/>
        </w:rPr>
        <w:t>8.</w:t>
      </w:r>
      <w:r>
        <w:rPr>
          <w:rFonts w:ascii="宋体" w:hAnsi="宋体"/>
          <w:color w:val="auto"/>
          <w:szCs w:val="21"/>
        </w:rPr>
        <w:t>2</w:t>
      </w:r>
      <w:r>
        <w:rPr>
          <w:rFonts w:hint="eastAsia" w:ascii="宋体" w:hAnsi="宋体"/>
          <w:color w:val="auto"/>
          <w:szCs w:val="21"/>
        </w:rPr>
        <w:t xml:space="preserve"> 经检验，若被抽产品有一项及以上不合格，检验报告中的检验结论表述为：“依据桂市监函〔xxxx〕</w:t>
      </w:r>
      <w:r>
        <w:rPr>
          <w:rFonts w:ascii="宋体" w:hAnsi="宋体"/>
          <w:color w:val="auto"/>
          <w:szCs w:val="21"/>
        </w:rPr>
        <w:t>xx</w:t>
      </w:r>
      <w:r>
        <w:rPr>
          <w:rFonts w:hint="eastAsia" w:ascii="宋体" w:hAnsi="宋体"/>
          <w:color w:val="auto"/>
          <w:szCs w:val="21"/>
        </w:rPr>
        <w:t>号文中《2020年奶嘴产品质量广西监督抽查实施细则》要求，对所抽样品的</w:t>
      </w:r>
      <w:r>
        <w:rPr>
          <w:rFonts w:ascii="宋体" w:hAnsi="宋体"/>
          <w:color w:val="auto"/>
          <w:szCs w:val="21"/>
        </w:rPr>
        <w:t>xx</w:t>
      </w:r>
      <w:r>
        <w:rPr>
          <w:rFonts w:hint="eastAsia" w:ascii="宋体" w:hAnsi="宋体"/>
          <w:color w:val="auto"/>
          <w:szCs w:val="21"/>
        </w:rPr>
        <w:t>个项目进行了检验，其中</w:t>
      </w:r>
      <w:r>
        <w:rPr>
          <w:rFonts w:ascii="宋体" w:hAnsi="宋体"/>
          <w:color w:val="auto"/>
          <w:szCs w:val="21"/>
        </w:rPr>
        <w:t>xx</w:t>
      </w:r>
      <w:r>
        <w:rPr>
          <w:rFonts w:hint="eastAsia" w:ascii="宋体" w:hAnsi="宋体"/>
          <w:color w:val="auto"/>
          <w:szCs w:val="21"/>
        </w:rPr>
        <w:t>、</w:t>
      </w:r>
      <w:r>
        <w:rPr>
          <w:rFonts w:ascii="宋体" w:hAnsi="宋体"/>
          <w:color w:val="auto"/>
          <w:szCs w:val="21"/>
        </w:rPr>
        <w:t>xx</w:t>
      </w:r>
      <w:r>
        <w:rPr>
          <w:rFonts w:hint="eastAsia" w:ascii="宋体" w:hAnsi="宋体"/>
          <w:color w:val="auto"/>
          <w:szCs w:val="21"/>
        </w:rPr>
        <w:t>项目的检验结果不符合</w:t>
      </w:r>
      <w:r>
        <w:rPr>
          <w:rFonts w:ascii="宋体" w:hAnsi="宋体"/>
          <w:color w:val="auto"/>
          <w:szCs w:val="21"/>
        </w:rPr>
        <w:t>xx</w:t>
      </w:r>
      <w:r>
        <w:rPr>
          <w:rFonts w:hint="eastAsia" w:ascii="宋体" w:hAnsi="宋体"/>
          <w:color w:val="auto"/>
          <w:szCs w:val="21"/>
        </w:rPr>
        <w:t>标准号《国家标准、行业标准名称》要求。综合判定：该产品本次监督抽查不合格（严重</w:t>
      </w:r>
      <w:r>
        <w:rPr>
          <w:rFonts w:ascii="宋体" w:hAnsi="宋体"/>
          <w:color w:val="auto"/>
          <w:szCs w:val="21"/>
        </w:rPr>
        <w:t>/</w:t>
      </w:r>
      <w:r>
        <w:rPr>
          <w:rFonts w:hint="eastAsia" w:ascii="宋体" w:hAnsi="宋体"/>
          <w:color w:val="auto"/>
          <w:szCs w:val="21"/>
        </w:rPr>
        <w:t>一般不合格）。”</w:t>
      </w:r>
      <w:r>
        <w:rPr>
          <w:rFonts w:ascii="宋体" w:hAnsi="宋体"/>
          <w:color w:val="auto"/>
          <w:szCs w:val="21"/>
        </w:rPr>
        <w:t xml:space="preserve"> </w:t>
      </w:r>
    </w:p>
    <w:p>
      <w:pPr>
        <w:widowControl/>
        <w:spacing w:line="440" w:lineRule="exact"/>
        <w:rPr>
          <w:rFonts w:ascii="黑体" w:hAnsi="宋体" w:eastAsia="黑体"/>
          <w:b/>
          <w:color w:val="auto"/>
          <w:szCs w:val="21"/>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9异议处理</w:t>
      </w:r>
    </w:p>
    <w:p>
      <w:pPr>
        <w:widowControl/>
        <w:spacing w:line="440" w:lineRule="exact"/>
        <w:ind w:firstLine="420" w:firstLineChars="200"/>
        <w:jc w:val="left"/>
        <w:rPr>
          <w:rFonts w:ascii="宋体" w:hAnsi="宋体"/>
          <w:color w:val="auto"/>
          <w:szCs w:val="21"/>
        </w:rPr>
      </w:pPr>
      <w:r>
        <w:rPr>
          <w:rFonts w:hint="eastAsia" w:ascii="宋体" w:hAnsi="宋体"/>
          <w:color w:val="auto"/>
          <w:szCs w:val="21"/>
        </w:rPr>
        <w:t>对判定不合格产品进行复检时，按以下方式进行：</w:t>
      </w:r>
    </w:p>
    <w:p>
      <w:pPr>
        <w:snapToGrid w:val="0"/>
        <w:spacing w:line="440" w:lineRule="exact"/>
        <w:rPr>
          <w:rFonts w:ascii="宋体" w:hAnsi="宋体"/>
          <w:color w:val="auto"/>
          <w:szCs w:val="21"/>
        </w:rPr>
      </w:pPr>
      <w:r>
        <w:rPr>
          <w:rFonts w:hint="eastAsia" w:ascii="宋体" w:hAnsi="宋体"/>
          <w:color w:val="auto"/>
          <w:szCs w:val="21"/>
        </w:rPr>
        <w:t>9.1  核查不合格项目相关证据，能够以记录（纸质记录或电子记录或影像记录）或与不合格项目相关联的其它质量数据等检验证据证明。</w:t>
      </w:r>
    </w:p>
    <w:p>
      <w:pPr>
        <w:snapToGrid w:val="0"/>
        <w:spacing w:line="440" w:lineRule="exact"/>
        <w:rPr>
          <w:rFonts w:ascii="宋体" w:hAnsi="宋体"/>
          <w:b/>
          <w:color w:val="auto"/>
          <w:szCs w:val="21"/>
        </w:rPr>
      </w:pPr>
      <w:r>
        <w:rPr>
          <w:rFonts w:hint="eastAsia" w:ascii="宋体" w:hAnsi="宋体"/>
          <w:color w:val="auto"/>
          <w:szCs w:val="21"/>
        </w:rPr>
        <w:t xml:space="preserve">9.2  </w:t>
      </w:r>
      <w:r>
        <w:rPr>
          <w:rFonts w:hint="eastAsia" w:ascii="宋体" w:hAnsi="宋体"/>
          <w:color w:val="auto"/>
          <w:szCs w:val="21"/>
        </w:rPr>
        <w:t>对需要复检并具备检验条件的，处理企业异议的</w:t>
      </w:r>
      <w:r>
        <w:rPr>
          <w:color w:val="auto"/>
        </w:rPr>
        <w:t>市场监督管理</w:t>
      </w:r>
      <w:r>
        <w:rPr>
          <w:rFonts w:hint="eastAsia" w:ascii="宋体" w:hAnsi="宋体"/>
          <w:color w:val="auto"/>
          <w:szCs w:val="21"/>
        </w:rPr>
        <w:t>部门按照《产品质量监督抽查管理暂行办法》要求组织复检机构对抽取的备用样品进行复检，并出具检验报告。复检结论为最终结论</w:t>
      </w:r>
      <w:r>
        <w:rPr>
          <w:rFonts w:hint="eastAsia" w:ascii="宋体" w:hAnsi="宋体"/>
          <w:color w:val="auto"/>
          <w:szCs w:val="21"/>
        </w:rPr>
        <w:t>。</w:t>
      </w:r>
    </w:p>
    <w:p>
      <w:pPr>
        <w:snapToGrid w:val="0"/>
        <w:spacing w:line="440" w:lineRule="exact"/>
        <w:rPr>
          <w:rFonts w:ascii="黑体" w:hAnsi="宋体" w:eastAsia="黑体"/>
          <w:b/>
          <w:color w:val="auto"/>
          <w:szCs w:val="21"/>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10附则</w:t>
      </w:r>
    </w:p>
    <w:p>
      <w:pPr>
        <w:widowControl/>
        <w:spacing w:line="440" w:lineRule="exact"/>
        <w:ind w:firstLine="420" w:firstLineChars="200"/>
        <w:jc w:val="left"/>
        <w:rPr>
          <w:rFonts w:ascii="宋体" w:hAnsi="宋体"/>
          <w:color w:val="auto"/>
          <w:szCs w:val="21"/>
        </w:rPr>
      </w:pPr>
      <w:r>
        <w:rPr>
          <w:rFonts w:hint="eastAsia" w:ascii="宋体" w:hAnsi="宋体"/>
          <w:color w:val="auto"/>
          <w:szCs w:val="21"/>
        </w:rPr>
        <w:t>本细则编写单位：成都产品质量检验研究院有限责任公司。</w:t>
      </w:r>
    </w:p>
    <w:p>
      <w:pPr>
        <w:widowControl/>
        <w:spacing w:line="440" w:lineRule="exact"/>
        <w:ind w:firstLine="420" w:firstLineChars="200"/>
        <w:jc w:val="left"/>
        <w:rPr>
          <w:rFonts w:ascii="宋体" w:hAnsi="宋体"/>
          <w:color w:val="auto"/>
          <w:szCs w:val="21"/>
        </w:rPr>
      </w:pPr>
      <w:r>
        <w:rPr>
          <w:rFonts w:hint="eastAsia" w:ascii="宋体" w:hAnsi="宋体"/>
          <w:color w:val="auto"/>
          <w:szCs w:val="21"/>
        </w:rPr>
        <w:t>本细则由广西壮族自治区市场监督管理局产品质量安全监督管理处（</w:t>
      </w:r>
      <w:r>
        <w:rPr>
          <w:rFonts w:ascii="宋体" w:hAnsi="宋体"/>
          <w:color w:val="auto"/>
          <w:szCs w:val="21"/>
        </w:rPr>
        <w:t>食品安全抽检监测处</w:t>
      </w:r>
      <w:r>
        <w:rPr>
          <w:rFonts w:hint="eastAsia" w:ascii="宋体" w:hAnsi="宋体"/>
          <w:color w:val="auto"/>
          <w:szCs w:val="21"/>
        </w:rPr>
        <w:t>）管理。</w:t>
      </w:r>
    </w:p>
    <w:sectPr>
      <w:footerReference r:id="rId3" w:type="default"/>
      <w:pgSz w:w="11906" w:h="16838"/>
      <w:pgMar w:top="1701" w:right="1474" w:bottom="1417" w:left="158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im Sun">
    <w:altName w:val="宋体"/>
    <w:panose1 w:val="00000000000000000000"/>
    <w:charset w:val="86"/>
    <w:family w:val="swiss"/>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2C542D"/>
    <w:rsid w:val="000967E0"/>
    <w:rsid w:val="007B5A5B"/>
    <w:rsid w:val="00DE67C9"/>
    <w:rsid w:val="00EB26DF"/>
    <w:rsid w:val="00FF7624"/>
    <w:rsid w:val="034E4131"/>
    <w:rsid w:val="162C542D"/>
    <w:rsid w:val="3FEC2CC9"/>
    <w:rsid w:val="4BC94186"/>
    <w:rsid w:val="4CE4498C"/>
    <w:rsid w:val="50BA688D"/>
    <w:rsid w:val="50E9788F"/>
    <w:rsid w:val="5CB85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left"/>
      <w:outlineLvl w:val="0"/>
    </w:pPr>
    <w:rPr>
      <w:rFonts w:eastAsia="宋体" w:cs="Times New Roman"/>
      <w:b/>
      <w:kern w:val="44"/>
      <w:sz w:val="28"/>
    </w:rPr>
  </w:style>
  <w:style w:type="paragraph" w:styleId="3">
    <w:name w:val="heading 2"/>
    <w:basedOn w:val="1"/>
    <w:next w:val="1"/>
    <w:semiHidden/>
    <w:unhideWhenUsed/>
    <w:qFormat/>
    <w:uiPriority w:val="0"/>
    <w:pPr>
      <w:keepNext/>
      <w:keepLines/>
      <w:spacing w:before="260" w:after="260" w:line="360" w:lineRule="auto"/>
      <w:jc w:val="left"/>
      <w:outlineLvl w:val="1"/>
    </w:pPr>
    <w:rPr>
      <w:rFonts w:ascii="Arial" w:hAnsi="Arial" w:eastAsia="宋体" w:cs="Times New Roman"/>
      <w:b/>
      <w:sz w:val="24"/>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章标题"/>
    <w:next w:val="1"/>
    <w:qFormat/>
    <w:uiPriority w:val="99"/>
    <w:pPr>
      <w:spacing w:beforeLines="50" w:afterLines="50" w:line="336" w:lineRule="auto"/>
      <w:jc w:val="both"/>
      <w:outlineLvl w:val="1"/>
    </w:pPr>
    <w:rPr>
      <w:rFonts w:ascii="黑体" w:hAnsi="Times New Roman" w:eastAsia="黑体" w:cs="Times New Roman"/>
      <w:sz w:val="21"/>
      <w:szCs w:val="21"/>
      <w:lang w:val="en-US" w:eastAsia="zh-CN" w:bidi="ar-SA"/>
    </w:rPr>
  </w:style>
  <w:style w:type="paragraph" w:styleId="9">
    <w:name w:val="List Paragraph"/>
    <w:basedOn w:val="1"/>
    <w:qFormat/>
    <w:uiPriority w:val="34"/>
    <w:pPr>
      <w:ind w:firstLine="420" w:firstLineChars="200"/>
    </w:p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5</Pages>
  <Words>582</Words>
  <Characters>3320</Characters>
  <Lines>27</Lines>
  <Paragraphs>7</Paragraphs>
  <TotalTime>3</TotalTime>
  <ScaleCrop>false</ScaleCrop>
  <LinksUpToDate>false</LinksUpToDate>
  <CharactersWithSpaces>3895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2020-05-12T02:34:00Z</dcterms:created>
  <dc:creator>MademoiselleFrance</dc:creator>
  <cp:lastModifiedBy>黄飞雪</cp:lastModifiedBy>
  <dcterms:modified xsi:type="dcterms:W3CDTF">2020-05-29T10:06:43Z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