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156" w:after="156"/>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2020年防静电服产品质量广西监督抽查实施细则</w:t>
      </w:r>
    </w:p>
    <w:p>
      <w:pPr>
        <w:rPr>
          <w:rFonts w:hint="eastAsia"/>
        </w:rPr>
      </w:pP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1 范围</w:t>
      </w:r>
    </w:p>
    <w:p>
      <w:pPr>
        <w:snapToGrid w:val="0"/>
        <w:spacing w:line="360" w:lineRule="auto"/>
        <w:ind w:firstLine="411" w:firstLineChars="196"/>
        <w:rPr>
          <w:rFonts w:ascii="宋体" w:hAnsi="宋体" w:cs="Sim Sun"/>
          <w:color w:val="auto"/>
          <w:kern w:val="0"/>
          <w:szCs w:val="21"/>
        </w:rPr>
      </w:pPr>
      <w:r>
        <w:rPr>
          <w:rFonts w:hint="eastAsia" w:ascii="宋体" w:hAnsi="宋体" w:cs="Sim Sun"/>
          <w:color w:val="auto"/>
          <w:kern w:val="0"/>
          <w:szCs w:val="21"/>
        </w:rPr>
        <w:t>本细则适用于防静电服产品质量广西监督抽查，针对特殊情况的广西监督专项抽查、县级以上地方市场监管部门组织的地方监督抽查可参照执行。监督抽查产品范围：用防静电织物为面料，适用于可能引发点击、火灾及爆炸危险场所穿着的防静电服。本细则内容包括产品分类、术语和定义、企业规模划分、检验依据、抽样、检验要求、判定原则、异议处理及附则。</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2产品分类</w:t>
      </w:r>
    </w:p>
    <w:p>
      <w:pPr>
        <w:snapToGrid w:val="0"/>
        <w:spacing w:line="440" w:lineRule="exact"/>
        <w:rPr>
          <w:rFonts w:ascii="宋体" w:hAnsi="宋体"/>
          <w:color w:val="auto"/>
          <w:szCs w:val="21"/>
        </w:rPr>
      </w:pPr>
      <w:r>
        <w:rPr>
          <w:rFonts w:hint="eastAsia" w:ascii="宋体" w:hAnsi="宋体"/>
          <w:color w:val="auto"/>
          <w:szCs w:val="21"/>
        </w:rPr>
        <w:t>2.1产品分类及代码见表1。</w:t>
      </w:r>
    </w:p>
    <w:p>
      <w:pPr>
        <w:snapToGrid w:val="0"/>
        <w:spacing w:line="440" w:lineRule="exact"/>
        <w:ind w:firstLine="420"/>
        <w:jc w:val="center"/>
        <w:rPr>
          <w:rFonts w:ascii="宋体" w:hAnsi="宋体"/>
          <w:color w:val="auto"/>
          <w:szCs w:val="21"/>
        </w:rPr>
      </w:pPr>
      <w:r>
        <w:rPr>
          <w:rFonts w:hint="eastAsia" w:ascii="宋体" w:hAnsi="宋体"/>
          <w:color w:val="auto"/>
          <w:szCs w:val="21"/>
        </w:rPr>
        <w:t>表1  产品分类及代码</w:t>
      </w:r>
    </w:p>
    <w:tbl>
      <w:tblPr>
        <w:tblStyle w:val="6"/>
        <w:tblW w:w="6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479"/>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产品分类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一级分类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二级分类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分类代码</w:t>
            </w:r>
          </w:p>
        </w:tc>
        <w:tc>
          <w:tcPr>
            <w:tcW w:w="2479" w:type="dxa"/>
            <w:vAlign w:val="bottom"/>
          </w:tcPr>
          <w:p>
            <w:pPr>
              <w:snapToGrid w:val="0"/>
              <w:spacing w:line="440" w:lineRule="exact"/>
              <w:jc w:val="center"/>
              <w:rPr>
                <w:rFonts w:ascii="宋体" w:hAnsi="宋体"/>
                <w:color w:val="auto"/>
                <w:szCs w:val="21"/>
              </w:rPr>
            </w:pPr>
            <w:r>
              <w:rPr>
                <w:rFonts w:hint="eastAsia" w:ascii="宋体" w:hAnsi="宋体"/>
                <w:color w:val="auto"/>
                <w:szCs w:val="21"/>
              </w:rPr>
              <w:t>6</w:t>
            </w:r>
          </w:p>
        </w:tc>
        <w:tc>
          <w:tcPr>
            <w:tcW w:w="2479" w:type="dxa"/>
            <w:vAlign w:val="bottom"/>
          </w:tcPr>
          <w:p>
            <w:pPr>
              <w:snapToGrid w:val="0"/>
              <w:spacing w:line="440" w:lineRule="exact"/>
              <w:jc w:val="center"/>
              <w:rPr>
                <w:rFonts w:ascii="宋体" w:hAnsi="宋体"/>
                <w:color w:val="auto"/>
                <w:szCs w:val="21"/>
              </w:rPr>
            </w:pPr>
            <w:r>
              <w:rPr>
                <w:rFonts w:hint="eastAsia" w:ascii="宋体" w:hAnsi="宋体"/>
                <w:color w:val="auto"/>
                <w:szCs w:val="21"/>
              </w:rPr>
              <w:t>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分类名称</w:t>
            </w:r>
          </w:p>
        </w:tc>
        <w:tc>
          <w:tcPr>
            <w:tcW w:w="2479" w:type="dxa"/>
            <w:vAlign w:val="bottom"/>
          </w:tcPr>
          <w:p>
            <w:pPr>
              <w:snapToGrid w:val="0"/>
              <w:spacing w:line="440" w:lineRule="exact"/>
              <w:jc w:val="center"/>
              <w:rPr>
                <w:rFonts w:ascii="宋体" w:hAnsi="宋体"/>
                <w:color w:val="auto"/>
                <w:szCs w:val="21"/>
              </w:rPr>
            </w:pPr>
            <w:r>
              <w:rPr>
                <w:rFonts w:hint="eastAsia" w:ascii="宋体" w:hAnsi="宋体"/>
                <w:color w:val="auto"/>
                <w:szCs w:val="21"/>
              </w:rPr>
              <w:t>机械及安防</w:t>
            </w:r>
          </w:p>
        </w:tc>
        <w:tc>
          <w:tcPr>
            <w:tcW w:w="2479" w:type="dxa"/>
            <w:vAlign w:val="bottom"/>
          </w:tcPr>
          <w:p>
            <w:pPr>
              <w:snapToGrid w:val="0"/>
              <w:spacing w:line="440" w:lineRule="exact"/>
              <w:jc w:val="center"/>
              <w:rPr>
                <w:rFonts w:ascii="宋体" w:hAnsi="宋体"/>
                <w:color w:val="auto"/>
                <w:szCs w:val="21"/>
              </w:rPr>
            </w:pPr>
            <w:r>
              <w:rPr>
                <w:rFonts w:hint="eastAsia" w:ascii="宋体" w:hAnsi="宋体"/>
                <w:color w:val="auto"/>
                <w:szCs w:val="21"/>
              </w:rPr>
              <w:t>劳护用品</w:t>
            </w:r>
          </w:p>
        </w:tc>
      </w:tr>
    </w:tbl>
    <w:p>
      <w:pPr>
        <w:snapToGrid w:val="0"/>
        <w:spacing w:line="440" w:lineRule="exact"/>
        <w:rPr>
          <w:rFonts w:ascii="宋体" w:hAnsi="宋体"/>
          <w:color w:val="auto"/>
          <w:szCs w:val="21"/>
        </w:rPr>
      </w:pPr>
      <w:r>
        <w:rPr>
          <w:rFonts w:hint="eastAsia" w:ascii="宋体" w:hAnsi="宋体"/>
          <w:color w:val="auto"/>
          <w:szCs w:val="21"/>
        </w:rPr>
        <w:t>2.2</w:t>
      </w:r>
      <w:r>
        <w:rPr>
          <w:rFonts w:hint="eastAsia" w:ascii="宋体" w:hAnsi="宋体"/>
          <w:color w:val="auto"/>
        </w:rPr>
        <w:t>产品种类：</w:t>
      </w:r>
      <w:r>
        <w:rPr>
          <w:rFonts w:hint="eastAsia" w:ascii="宋体" w:hAnsi="宋体"/>
          <w:color w:val="auto"/>
          <w:szCs w:val="21"/>
        </w:rPr>
        <w:t>防静电服（A级）、防静电服（B级）。</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3术语和定义</w:t>
      </w:r>
    </w:p>
    <w:p>
      <w:pPr>
        <w:snapToGrid w:val="0"/>
        <w:spacing w:line="440" w:lineRule="exact"/>
        <w:ind w:firstLine="403" w:firstLineChars="192"/>
        <w:rPr>
          <w:rFonts w:ascii="宋体" w:hAnsi="宋体"/>
          <w:color w:val="auto"/>
          <w:szCs w:val="21"/>
        </w:rPr>
      </w:pPr>
      <w:r>
        <w:rPr>
          <w:rFonts w:hint="eastAsia" w:ascii="宋体" w:hAnsi="宋体"/>
          <w:color w:val="auto"/>
          <w:szCs w:val="21"/>
        </w:rPr>
        <w:t>本规范中未列出的术语和定义同相关引用标准。</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4企业规模划分</w:t>
      </w:r>
      <w:bookmarkStart w:id="0" w:name="_GoBack"/>
      <w:bookmarkEnd w:id="0"/>
    </w:p>
    <w:p>
      <w:pPr>
        <w:snapToGrid w:val="0"/>
        <w:spacing w:line="440" w:lineRule="exact"/>
        <w:ind w:firstLine="420"/>
        <w:rPr>
          <w:rFonts w:ascii="宋体"/>
          <w:color w:val="auto"/>
          <w:szCs w:val="21"/>
        </w:rPr>
      </w:pPr>
      <w:r>
        <w:rPr>
          <w:rFonts w:hint="eastAsia" w:ascii="宋体" w:hAnsi="宋体"/>
          <w:color w:val="auto"/>
          <w:szCs w:val="21"/>
        </w:rPr>
        <w:t>按照国家统计局《统计上大中小微型企业划分办法》划分。</w:t>
      </w:r>
    </w:p>
    <w:p>
      <w:pPr>
        <w:snapToGrid w:val="0"/>
        <w:spacing w:line="440" w:lineRule="exact"/>
        <w:ind w:firstLine="420"/>
        <w:jc w:val="center"/>
        <w:rPr>
          <w:rFonts w:ascii="宋体"/>
          <w:color w:val="auto"/>
          <w:szCs w:val="21"/>
        </w:rPr>
      </w:pPr>
      <w:r>
        <w:rPr>
          <w:rFonts w:hint="eastAsia" w:ascii="宋体" w:hAnsi="宋体"/>
          <w:color w:val="auto"/>
          <w:szCs w:val="21"/>
        </w:rPr>
        <w:t>表</w:t>
      </w:r>
      <w:r>
        <w:rPr>
          <w:rFonts w:ascii="宋体" w:hAnsi="宋体"/>
          <w:color w:val="auto"/>
          <w:szCs w:val="21"/>
        </w:rPr>
        <w:t>2</w:t>
      </w:r>
      <w:r>
        <w:rPr>
          <w:rFonts w:hint="eastAsia" w:ascii="宋体" w:hAnsi="宋体"/>
          <w:color w:val="auto"/>
          <w:szCs w:val="21"/>
        </w:rPr>
        <w:t>企业生产规模划分方法</w:t>
      </w:r>
    </w:p>
    <w:tbl>
      <w:tblPr>
        <w:tblStyle w:val="6"/>
        <w:tblW w:w="9003" w:type="dxa"/>
        <w:jc w:val="center"/>
        <w:tblInd w:w="0" w:type="dxa"/>
        <w:tblLayout w:type="fixed"/>
        <w:tblCellMar>
          <w:top w:w="0" w:type="dxa"/>
          <w:left w:w="108" w:type="dxa"/>
          <w:bottom w:w="0" w:type="dxa"/>
          <w:right w:w="108" w:type="dxa"/>
        </w:tblCellMar>
      </w:tblPr>
      <w:tblGrid>
        <w:gridCol w:w="1170"/>
        <w:gridCol w:w="1383"/>
        <w:gridCol w:w="717"/>
        <w:gridCol w:w="1136"/>
        <w:gridCol w:w="1718"/>
        <w:gridCol w:w="1689"/>
        <w:gridCol w:w="1190"/>
      </w:tblGrid>
      <w:tr>
        <w:tblPrEx>
          <w:tblLayout w:type="fixed"/>
          <w:tblCellMar>
            <w:top w:w="0" w:type="dxa"/>
            <w:left w:w="108" w:type="dxa"/>
            <w:bottom w:w="0" w:type="dxa"/>
            <w:right w:w="108" w:type="dxa"/>
          </w:tblCellMar>
        </w:tblPrEx>
        <w:trPr>
          <w:trHeight w:val="622" w:hRule="exact"/>
          <w:jc w:val="center"/>
        </w:trPr>
        <w:tc>
          <w:tcPr>
            <w:tcW w:w="117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行业名称</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指标名称</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计量</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大型</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中型</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小型</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微型</w:t>
            </w:r>
          </w:p>
        </w:tc>
      </w:tr>
      <w:tr>
        <w:tblPrEx>
          <w:tblLayout w:type="fixed"/>
          <w:tblCellMar>
            <w:top w:w="0" w:type="dxa"/>
            <w:left w:w="108" w:type="dxa"/>
            <w:bottom w:w="0" w:type="dxa"/>
            <w:right w:w="108" w:type="dxa"/>
          </w:tblCellMar>
        </w:tblPrEx>
        <w:trPr>
          <w:trHeight w:val="558" w:hRule="exact"/>
          <w:jc w:val="center"/>
        </w:trPr>
        <w:tc>
          <w:tcPr>
            <w:tcW w:w="117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工业</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从业人员</w:t>
            </w:r>
            <w:r>
              <w:rPr>
                <w:rFonts w:ascii="宋体" w:hAnsi="宋体"/>
                <w:color w:val="auto"/>
                <w:szCs w:val="21"/>
              </w:rPr>
              <w:t>(X)</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人</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300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20</w:t>
            </w:r>
          </w:p>
        </w:tc>
      </w:tr>
      <w:tr>
        <w:tblPrEx>
          <w:tblLayout w:type="fixed"/>
          <w:tblCellMar>
            <w:top w:w="0" w:type="dxa"/>
            <w:left w:w="108" w:type="dxa"/>
            <w:bottom w:w="0" w:type="dxa"/>
            <w:right w:w="108" w:type="dxa"/>
          </w:tblCellMar>
        </w:tblPrEx>
        <w:trPr>
          <w:trHeight w:val="566" w:hRule="exact"/>
          <w:jc w:val="center"/>
        </w:trPr>
        <w:tc>
          <w:tcPr>
            <w:tcW w:w="117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营业收入</w:t>
            </w:r>
            <w:r>
              <w:rPr>
                <w:rFonts w:ascii="宋体" w:hAnsi="宋体"/>
                <w:color w:val="auto"/>
                <w:szCs w:val="21"/>
              </w:rPr>
              <w:t>(Y)</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万元</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2000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300</w:t>
            </w:r>
          </w:p>
        </w:tc>
      </w:tr>
    </w:tbl>
    <w:p>
      <w:pPr>
        <w:spacing w:line="360" w:lineRule="auto"/>
        <w:rPr>
          <w:rFonts w:ascii="宋体"/>
          <w:color w:val="auto"/>
          <w:szCs w:val="21"/>
        </w:rPr>
      </w:pPr>
      <w:r>
        <w:rPr>
          <w:rFonts w:hint="eastAsia" w:ascii="宋体" w:hAnsi="宋体"/>
          <w:color w:val="auto"/>
          <w:szCs w:val="21"/>
        </w:rPr>
        <w:t>注：大型、中型和小型企业须同时满足所列指标的下限，否则下划一档。</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5检验依据</w:t>
      </w:r>
    </w:p>
    <w:p>
      <w:pPr>
        <w:snapToGrid w:val="0"/>
        <w:spacing w:line="440" w:lineRule="exact"/>
        <w:ind w:firstLine="420" w:firstLineChars="200"/>
        <w:rPr>
          <w:rFonts w:ascii="宋体"/>
          <w:color w:val="auto"/>
          <w:szCs w:val="21"/>
        </w:rPr>
      </w:pPr>
      <w:r>
        <w:rPr>
          <w:rFonts w:hint="eastAsia" w:ascii="宋体" w:hAnsi="宋体"/>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424" w:firstLineChars="202"/>
        <w:rPr>
          <w:rFonts w:ascii="宋体" w:hAnsi="宋体"/>
          <w:color w:val="auto"/>
          <w:szCs w:val="21"/>
        </w:rPr>
      </w:pPr>
      <w:r>
        <w:rPr>
          <w:rFonts w:hint="eastAsia" w:ascii="宋体" w:hAnsi="宋体"/>
          <w:color w:val="auto"/>
          <w:szCs w:val="21"/>
        </w:rPr>
        <w:t>GB 12014-2009  防静电服</w:t>
      </w:r>
    </w:p>
    <w:p>
      <w:pPr>
        <w:snapToGrid w:val="0"/>
        <w:spacing w:line="440" w:lineRule="exact"/>
        <w:ind w:firstLine="424" w:firstLineChars="202"/>
        <w:rPr>
          <w:rFonts w:ascii="宋体" w:hAnsi="宋体"/>
          <w:color w:val="auto"/>
          <w:szCs w:val="21"/>
        </w:rPr>
      </w:pPr>
      <w:r>
        <w:rPr>
          <w:rFonts w:hint="eastAsia" w:ascii="宋体" w:hAnsi="宋体"/>
          <w:color w:val="auto"/>
          <w:szCs w:val="21"/>
        </w:rPr>
        <w:t>相关的法律法规、部门规章和规范</w:t>
      </w:r>
    </w:p>
    <w:p>
      <w:pPr>
        <w:snapToGrid w:val="0"/>
        <w:spacing w:line="440" w:lineRule="exact"/>
        <w:ind w:firstLine="420" w:firstLineChars="200"/>
        <w:rPr>
          <w:rFonts w:ascii="宋体" w:hAnsi="宋体"/>
          <w:color w:val="auto"/>
          <w:szCs w:val="21"/>
        </w:rPr>
      </w:pPr>
      <w:r>
        <w:rPr>
          <w:rFonts w:hint="eastAsia" w:ascii="宋体" w:hAnsi="宋体"/>
          <w:color w:val="auto"/>
          <w:szCs w:val="21"/>
        </w:rPr>
        <w:t>经在全国企业标准信息公共服务平台自我声明公开或备案有效期内现行有效的企业标准及产品明示质量要求</w:t>
      </w:r>
    </w:p>
    <w:p>
      <w:pPr>
        <w:snapToGrid w:val="0"/>
        <w:spacing w:line="440" w:lineRule="exact"/>
        <w:rPr>
          <w:rFonts w:hint="eastAsia" w:ascii="黑体" w:hAnsi="宋体" w:eastAsia="黑体"/>
          <w:b/>
          <w:bCs/>
          <w:color w:val="auto"/>
          <w:szCs w:val="21"/>
        </w:rPr>
      </w:pP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6抽样</w:t>
      </w:r>
    </w:p>
    <w:p>
      <w:pPr>
        <w:snapToGrid w:val="0"/>
        <w:spacing w:line="440" w:lineRule="exact"/>
        <w:rPr>
          <w:rFonts w:ascii="宋体" w:hAnsi="宋体"/>
          <w:color w:val="auto"/>
          <w:szCs w:val="21"/>
        </w:rPr>
      </w:pPr>
      <w:r>
        <w:rPr>
          <w:rFonts w:hint="eastAsia" w:ascii="宋体" w:hAnsi="宋体"/>
          <w:color w:val="auto"/>
          <w:szCs w:val="21"/>
        </w:rPr>
        <w:t>6.1 抽样型号或规格</w:t>
      </w:r>
    </w:p>
    <w:p>
      <w:pPr>
        <w:snapToGrid w:val="0"/>
        <w:spacing w:line="440" w:lineRule="exact"/>
        <w:ind w:firstLine="420" w:firstLineChars="200"/>
        <w:rPr>
          <w:rFonts w:ascii="宋体" w:hAnsi="宋体"/>
          <w:color w:val="auto"/>
          <w:szCs w:val="21"/>
        </w:rPr>
      </w:pPr>
      <w:r>
        <w:rPr>
          <w:rFonts w:hint="eastAsia" w:ascii="宋体" w:hAnsi="宋体"/>
          <w:color w:val="auto"/>
          <w:szCs w:val="21"/>
        </w:rPr>
        <w:t>根据产品的销售单元（件、套、双）抽取同一批次、相同款式、相同颜色的被检样品。</w:t>
      </w:r>
    </w:p>
    <w:p>
      <w:pPr>
        <w:snapToGrid w:val="0"/>
        <w:spacing w:line="440" w:lineRule="exact"/>
        <w:rPr>
          <w:rFonts w:ascii="宋体" w:hAnsi="宋体"/>
          <w:color w:val="auto"/>
          <w:szCs w:val="21"/>
        </w:rPr>
      </w:pPr>
      <w:r>
        <w:rPr>
          <w:rFonts w:hint="eastAsia" w:ascii="宋体" w:hAnsi="宋体"/>
          <w:color w:val="auto"/>
          <w:szCs w:val="21"/>
        </w:rPr>
        <w:t>6.2 抽样方法、基数及数量</w:t>
      </w:r>
    </w:p>
    <w:p>
      <w:pPr>
        <w:snapToGrid w:val="0"/>
        <w:spacing w:line="440" w:lineRule="exact"/>
        <w:rPr>
          <w:rFonts w:ascii="宋体" w:hAnsi="宋体"/>
          <w:color w:val="auto"/>
          <w:szCs w:val="21"/>
        </w:rPr>
      </w:pPr>
      <w:r>
        <w:rPr>
          <w:rFonts w:hint="eastAsia" w:ascii="宋体" w:hAnsi="宋体"/>
          <w:color w:val="auto"/>
          <w:szCs w:val="21"/>
        </w:rPr>
        <w:t xml:space="preserve">6.2.1 </w:t>
      </w:r>
      <w:r>
        <w:rPr>
          <w:rFonts w:ascii="宋体" w:hAnsi="宋体"/>
          <w:color w:val="auto"/>
          <w:szCs w:val="21"/>
        </w:rPr>
        <w:t>在企业</w:t>
      </w:r>
      <w:r>
        <w:rPr>
          <w:rFonts w:hint="eastAsia" w:ascii="宋体" w:hAnsi="宋体"/>
          <w:color w:val="auto"/>
          <w:szCs w:val="21"/>
        </w:rPr>
        <w:t>的</w:t>
      </w:r>
      <w:r>
        <w:rPr>
          <w:rFonts w:ascii="宋体" w:hAnsi="宋体"/>
          <w:color w:val="auto"/>
          <w:szCs w:val="21"/>
        </w:rPr>
        <w:t>成品库</w:t>
      </w:r>
      <w:r>
        <w:rPr>
          <w:rFonts w:hint="eastAsia" w:ascii="宋体" w:hAnsi="宋体"/>
          <w:color w:val="auto"/>
          <w:szCs w:val="21"/>
        </w:rPr>
        <w:t>、成品罐内</w:t>
      </w:r>
      <w:r>
        <w:rPr>
          <w:rFonts w:ascii="宋体" w:hAnsi="宋体"/>
          <w:color w:val="auto"/>
          <w:szCs w:val="21"/>
        </w:rPr>
        <w:t>或者市场</w:t>
      </w:r>
      <w:r>
        <w:rPr>
          <w:rFonts w:hint="eastAsia" w:ascii="宋体" w:hAnsi="宋体"/>
          <w:color w:val="auto"/>
          <w:szCs w:val="21"/>
        </w:rPr>
        <w:t>待销产品中</w:t>
      </w:r>
      <w:r>
        <w:rPr>
          <w:rFonts w:ascii="宋体" w:hAnsi="宋体"/>
          <w:color w:val="auto"/>
          <w:szCs w:val="21"/>
        </w:rPr>
        <w:t>随机抽取</w:t>
      </w:r>
      <w:r>
        <w:rPr>
          <w:rFonts w:hint="eastAsia" w:ascii="宋体" w:hAnsi="宋体"/>
          <w:color w:val="auto"/>
          <w:szCs w:val="21"/>
        </w:rPr>
        <w:t>有产品质量检验合格证明或者以其他形式表明合格的、近期生产的产品。</w:t>
      </w:r>
    </w:p>
    <w:p>
      <w:pPr>
        <w:snapToGrid w:val="0"/>
        <w:spacing w:line="440" w:lineRule="exact"/>
        <w:rPr>
          <w:rFonts w:ascii="宋体" w:hAnsi="宋体"/>
          <w:color w:val="auto"/>
          <w:szCs w:val="21"/>
        </w:rPr>
      </w:pPr>
      <w:r>
        <w:rPr>
          <w:rFonts w:hint="eastAsia" w:ascii="宋体" w:hAnsi="宋体"/>
          <w:color w:val="auto"/>
          <w:szCs w:val="21"/>
        </w:rPr>
        <w:t>6.2.2 随机数一般可使用随机数表、骰子或扑克牌等方法产生。</w:t>
      </w:r>
    </w:p>
    <w:p>
      <w:pPr>
        <w:snapToGrid w:val="0"/>
        <w:spacing w:line="440" w:lineRule="exact"/>
        <w:rPr>
          <w:rFonts w:ascii="宋体" w:hAnsi="宋体"/>
          <w:color w:val="auto"/>
          <w:szCs w:val="21"/>
        </w:rPr>
      </w:pPr>
      <w:r>
        <w:rPr>
          <w:rFonts w:hint="eastAsia" w:ascii="宋体" w:hAnsi="宋体"/>
          <w:color w:val="auto"/>
          <w:szCs w:val="21"/>
        </w:rPr>
        <w:t>6.2.3 抽样基数应不少于抽取样品量。</w:t>
      </w:r>
    </w:p>
    <w:p>
      <w:pPr>
        <w:snapToGrid w:val="0"/>
        <w:spacing w:line="440" w:lineRule="exact"/>
        <w:rPr>
          <w:rFonts w:ascii="宋体" w:hAnsi="宋体"/>
          <w:color w:val="auto"/>
          <w:szCs w:val="21"/>
        </w:rPr>
      </w:pPr>
      <w:r>
        <w:rPr>
          <w:rFonts w:hint="eastAsia" w:ascii="宋体" w:hAnsi="宋体"/>
          <w:color w:val="auto"/>
          <w:szCs w:val="21"/>
        </w:rPr>
        <w:t>6.2.4抽样方法执行</w:t>
      </w:r>
      <w:r>
        <w:rPr>
          <w:rFonts w:ascii="宋体" w:hAnsi="宋体"/>
          <w:color w:val="auto"/>
          <w:szCs w:val="21"/>
        </w:rPr>
        <w:t>GB/T10111</w:t>
      </w:r>
      <w:r>
        <w:rPr>
          <w:rFonts w:hint="eastAsia" w:ascii="宋体" w:hAnsi="宋体"/>
          <w:color w:val="auto"/>
          <w:szCs w:val="21"/>
        </w:rPr>
        <w:t>标准的规定，抽取成品服装4套，其中2套为检样，2套为备样。</w:t>
      </w:r>
    </w:p>
    <w:p>
      <w:pPr>
        <w:snapToGrid w:val="0"/>
        <w:spacing w:line="440" w:lineRule="exact"/>
        <w:rPr>
          <w:rFonts w:ascii="宋体" w:hAnsi="宋体"/>
          <w:color w:val="auto"/>
          <w:szCs w:val="21"/>
        </w:rPr>
      </w:pPr>
      <w:r>
        <w:rPr>
          <w:rFonts w:hint="eastAsia" w:ascii="宋体" w:hAnsi="宋体"/>
          <w:color w:val="auto"/>
          <w:szCs w:val="21"/>
        </w:rPr>
        <w:t>6.3 样品处置</w:t>
      </w:r>
    </w:p>
    <w:p>
      <w:pPr>
        <w:snapToGrid w:val="0"/>
        <w:spacing w:line="440" w:lineRule="exact"/>
        <w:ind w:left="0" w:leftChars="0" w:firstLine="0" w:firstLineChars="0"/>
        <w:rPr>
          <w:rFonts w:ascii="宋体" w:hAnsi="宋体"/>
          <w:color w:val="auto"/>
          <w:szCs w:val="21"/>
        </w:rPr>
      </w:pPr>
      <w:r>
        <w:rPr>
          <w:rFonts w:hint="eastAsia" w:ascii="宋体" w:hAnsi="宋体"/>
          <w:color w:val="auto"/>
          <w:szCs w:val="21"/>
        </w:rPr>
        <w:t>6.3.1 对抽取的样品，应在纸质封条上分别注明“</w:t>
      </w:r>
      <w:r>
        <w:rPr>
          <w:rFonts w:ascii="宋体" w:hAnsi="宋体"/>
          <w:color w:val="auto"/>
          <w:szCs w:val="21"/>
        </w:rPr>
        <w:t>检验</w:t>
      </w:r>
      <w:r>
        <w:rPr>
          <w:rFonts w:hint="eastAsia" w:ascii="宋体" w:hAnsi="宋体"/>
          <w:color w:val="auto"/>
          <w:szCs w:val="21"/>
        </w:rPr>
        <w:t>样品”与“备用样品”，现场封样，被抽查产品的样品应有密封和防拆封措施，以保证其完整性、真实性，包括附在样品上的使用说明及其他信息；检验用样品及备用(复检)样品应分别封样，由抽样人员寄、送至指定的检验机构相关部门，备用（复检）样品封存于检验机构。</w:t>
      </w:r>
      <w:r>
        <w:rPr>
          <w:rFonts w:hint="eastAsia" w:ascii="宋体" w:hAnsi="宋体"/>
          <w:color w:val="auto"/>
          <w:szCs w:val="21"/>
        </w:rPr>
        <w:t>封样方式应</w:t>
      </w:r>
      <w:r>
        <w:rPr>
          <w:rFonts w:hint="eastAsia" w:ascii="宋体" w:hAnsi="宋体"/>
          <w:color w:val="auto"/>
          <w:szCs w:val="21"/>
          <w:lang w:eastAsia="zh-CN"/>
        </w:rPr>
        <w:t>避免</w:t>
      </w:r>
      <w:r>
        <w:rPr>
          <w:rFonts w:hint="eastAsia" w:ascii="宋体" w:hAnsi="宋体"/>
          <w:color w:val="auto"/>
          <w:szCs w:val="21"/>
        </w:rPr>
        <w:t>样品在运送过程中损坏或被污染，</w:t>
      </w:r>
      <w:r>
        <w:rPr>
          <w:rFonts w:hint="eastAsia" w:ascii="宋体" w:hAnsi="宋体"/>
          <w:color w:val="auto"/>
          <w:szCs w:val="21"/>
          <w:lang w:eastAsia="zh-CN"/>
        </w:rPr>
        <w:t>并能</w:t>
      </w:r>
      <w:r>
        <w:rPr>
          <w:rFonts w:hint="eastAsia" w:ascii="宋体" w:hAnsi="宋体"/>
          <w:color w:val="auto"/>
          <w:szCs w:val="21"/>
        </w:rPr>
        <w:t>有效防止未经授权的拆封。</w:t>
      </w:r>
    </w:p>
    <w:p>
      <w:pPr>
        <w:snapToGrid w:val="0"/>
        <w:spacing w:line="440" w:lineRule="exact"/>
        <w:rPr>
          <w:rFonts w:ascii="宋体" w:hAnsi="宋体"/>
          <w:color w:val="auto"/>
          <w:szCs w:val="21"/>
        </w:rPr>
      </w:pPr>
      <w:r>
        <w:rPr>
          <w:rFonts w:hint="eastAsia" w:ascii="宋体" w:hAnsi="宋体"/>
          <w:color w:val="auto"/>
          <w:szCs w:val="21"/>
        </w:rPr>
        <w:t>6.3.2 备用样品及检验结束后的样品应该贮存在阴凉、干燥、避免阳光直射的安全处。应保证备用样品在整个保存期间签封完整无损。</w:t>
      </w:r>
    </w:p>
    <w:p>
      <w:pPr>
        <w:snapToGrid w:val="0"/>
        <w:spacing w:line="440" w:lineRule="exact"/>
        <w:rPr>
          <w:rFonts w:ascii="宋体" w:hAnsi="宋体"/>
          <w:color w:val="auto"/>
          <w:szCs w:val="21"/>
        </w:rPr>
      </w:pPr>
      <w:r>
        <w:rPr>
          <w:rFonts w:hint="eastAsia" w:ascii="宋体" w:hAnsi="宋体"/>
          <w:color w:val="auto"/>
          <w:szCs w:val="21"/>
        </w:rPr>
        <w:t>6.3.3检验机构接收样品应当有专人负责检查、记录样品的外观、状态、封条有无破损及其他可能对检测结果或者综合判定产生影响的情况，并确认样品与抽样单的记录是否相符，对检测和备用样品分别加贴相应标识后入库。</w:t>
      </w:r>
    </w:p>
    <w:p>
      <w:pPr>
        <w:snapToGrid w:val="0"/>
        <w:spacing w:line="440" w:lineRule="exact"/>
        <w:rPr>
          <w:rFonts w:ascii="宋体" w:hAnsi="宋体"/>
          <w:color w:val="auto"/>
          <w:szCs w:val="21"/>
        </w:rPr>
      </w:pPr>
      <w:r>
        <w:rPr>
          <w:rFonts w:hint="eastAsia" w:ascii="宋体" w:hAnsi="宋体"/>
          <w:color w:val="auto"/>
          <w:szCs w:val="21"/>
        </w:rPr>
        <w:t>6.4抽样注意事项</w:t>
      </w:r>
    </w:p>
    <w:p>
      <w:pPr>
        <w:snapToGrid w:val="0"/>
        <w:spacing w:line="440" w:lineRule="exact"/>
        <w:ind w:firstLine="420" w:firstLineChars="200"/>
        <w:rPr>
          <w:color w:val="auto"/>
        </w:rPr>
      </w:pPr>
      <w:r>
        <w:rPr>
          <w:color w:val="auto"/>
        </w:rP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5</w:t>
      </w:r>
      <w:r>
        <w:rPr>
          <w:rFonts w:hint="eastAsia" w:ascii="宋体" w:hAnsi="宋体"/>
          <w:color w:val="auto"/>
          <w:szCs w:val="21"/>
        </w:rPr>
        <w:t xml:space="preserve"> 抽样单</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.5.</w:t>
      </w:r>
      <w:r>
        <w:rPr>
          <w:rFonts w:hint="eastAsia" w:ascii="宋体" w:hAnsi="宋体"/>
          <w:color w:val="auto"/>
          <w:szCs w:val="21"/>
        </w:rPr>
        <w:t>1生产领域</w:t>
      </w:r>
    </w:p>
    <w:p>
      <w:pPr>
        <w:snapToGrid w:val="0"/>
        <w:spacing w:line="440" w:lineRule="exact"/>
        <w:ind w:firstLine="420" w:firstLineChars="200"/>
        <w:rPr>
          <w:rFonts w:ascii="宋体" w:hAnsi="宋体"/>
          <w:color w:val="auto"/>
          <w:szCs w:val="21"/>
        </w:rPr>
      </w:pPr>
      <w:r>
        <w:rPr>
          <w:rFonts w:hint="eastAsia" w:ascii="宋体" w:hAnsi="宋体"/>
          <w:color w:val="auto"/>
          <w:szCs w:val="21"/>
        </w:rPr>
        <w:t>应按有关规定填写抽样单，并记录被抽查产品及企业相关信息。同时记录被抽查企业上一年度生产的相关产品销售总额，以万元计；若企业上一年度未生产，则记录本年度实际销售额，并加以注明。对于产品检验所需的样品技术参数包括被抽查产品的依据标准等信息，需要受检单位提供的，应在抽样现场获取，并经生产企业确认。</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.5</w:t>
      </w:r>
      <w:r>
        <w:rPr>
          <w:rFonts w:hint="eastAsia" w:ascii="宋体" w:hAnsi="宋体"/>
          <w:color w:val="auto"/>
          <w:szCs w:val="21"/>
        </w:rPr>
        <w:t>.2 流通领域</w:t>
      </w:r>
    </w:p>
    <w:p>
      <w:pPr>
        <w:snapToGrid w:val="0"/>
        <w:spacing w:line="440" w:lineRule="exact"/>
        <w:ind w:firstLine="420" w:firstLineChars="200"/>
        <w:rPr>
          <w:rFonts w:ascii="宋体" w:hAnsi="宋体"/>
          <w:color w:val="auto"/>
          <w:szCs w:val="21"/>
        </w:rPr>
      </w:pPr>
      <w:r>
        <w:rPr>
          <w:rFonts w:hint="eastAsia" w:ascii="宋体" w:hAnsi="宋体"/>
          <w:color w:val="auto"/>
          <w:szCs w:val="21"/>
        </w:rPr>
        <w:t>市场抽样：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pPr>
        <w:snapToGrid w:val="0"/>
        <w:spacing w:line="440" w:lineRule="exact"/>
        <w:ind w:firstLine="417" w:firstLineChars="199"/>
        <w:rPr>
          <w:rFonts w:ascii="宋体" w:hAnsi="宋体" w:cs="仿宋_GB2312"/>
          <w:color w:val="auto"/>
        </w:rPr>
      </w:pPr>
    </w:p>
    <w:p>
      <w:pPr>
        <w:snapToGrid w:val="0"/>
        <w:spacing w:line="440" w:lineRule="exact"/>
        <w:rPr>
          <w:rFonts w:ascii="黑体" w:hAnsi="宋体" w:eastAsia="黑体"/>
          <w:b/>
          <w:color w:val="auto"/>
          <w:szCs w:val="21"/>
        </w:rPr>
      </w:pPr>
      <w:r>
        <w:rPr>
          <w:rFonts w:hint="eastAsia" w:ascii="黑体" w:hAnsi="宋体" w:eastAsia="黑体"/>
          <w:b/>
          <w:color w:val="auto"/>
          <w:szCs w:val="21"/>
        </w:rPr>
        <w:t>7检验要求</w:t>
      </w:r>
    </w:p>
    <w:p>
      <w:pPr>
        <w:snapToGrid w:val="0"/>
        <w:spacing w:line="440" w:lineRule="exact"/>
        <w:rPr>
          <w:rFonts w:ascii="宋体" w:hAnsi="宋体"/>
          <w:color w:val="auto"/>
          <w:szCs w:val="21"/>
        </w:rPr>
      </w:pPr>
      <w:r>
        <w:rPr>
          <w:rFonts w:hint="eastAsia" w:ascii="宋体" w:hAnsi="宋体"/>
          <w:color w:val="auto"/>
          <w:szCs w:val="21"/>
        </w:rPr>
        <w:t>7.1 检验项目</w:t>
      </w:r>
    </w:p>
    <w:p>
      <w:pPr>
        <w:tabs>
          <w:tab w:val="left" w:pos="1320"/>
        </w:tabs>
        <w:snapToGrid w:val="0"/>
        <w:spacing w:line="440" w:lineRule="exact"/>
        <w:ind w:firstLine="420" w:firstLineChars="200"/>
        <w:rPr>
          <w:rFonts w:ascii="宋体" w:hAnsi="宋体"/>
          <w:color w:val="auto"/>
          <w:szCs w:val="21"/>
        </w:rPr>
      </w:pPr>
      <w:r>
        <w:rPr>
          <w:rFonts w:hint="eastAsia" w:ascii="宋体" w:hAnsi="宋体"/>
          <w:color w:val="auto"/>
          <w:szCs w:val="21"/>
        </w:rPr>
        <w:t>检验项目及重要程度分类见表3。</w:t>
      </w:r>
    </w:p>
    <w:p>
      <w:pPr>
        <w:tabs>
          <w:tab w:val="left" w:pos="1320"/>
        </w:tabs>
        <w:snapToGrid w:val="0"/>
        <w:spacing w:line="440" w:lineRule="exact"/>
        <w:jc w:val="center"/>
        <w:rPr>
          <w:rFonts w:ascii="宋体" w:hAnsi="宋体"/>
          <w:color w:val="auto"/>
          <w:szCs w:val="21"/>
        </w:rPr>
      </w:pPr>
      <w:r>
        <w:rPr>
          <w:rFonts w:hint="eastAsia" w:ascii="宋体" w:hAnsi="宋体"/>
          <w:color w:val="auto"/>
          <w:szCs w:val="21"/>
        </w:rPr>
        <w:t>表3 检验项目及重要程度分类</w:t>
      </w:r>
    </w:p>
    <w:tbl>
      <w:tblPr>
        <w:tblStyle w:val="6"/>
        <w:tblW w:w="8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250"/>
        <w:gridCol w:w="1372"/>
        <w:gridCol w:w="2218"/>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696" w:type="dxa"/>
            <w:vMerge w:val="restart"/>
            <w:vAlign w:val="center"/>
          </w:tcPr>
          <w:p>
            <w:pPr>
              <w:snapToGrid w:val="0"/>
              <w:jc w:val="center"/>
              <w:rPr>
                <w:rFonts w:ascii="宋体" w:hAnsi="宋体"/>
                <w:color w:val="auto"/>
                <w:szCs w:val="21"/>
              </w:rPr>
            </w:pPr>
            <w:r>
              <w:rPr>
                <w:rFonts w:hint="eastAsia" w:ascii="宋体" w:hAnsi="宋体"/>
                <w:color w:val="auto"/>
                <w:szCs w:val="21"/>
              </w:rPr>
              <w:t>序号</w:t>
            </w:r>
          </w:p>
        </w:tc>
        <w:tc>
          <w:tcPr>
            <w:tcW w:w="2250" w:type="dxa"/>
            <w:vMerge w:val="restart"/>
            <w:vAlign w:val="center"/>
          </w:tcPr>
          <w:p>
            <w:pPr>
              <w:snapToGrid w:val="0"/>
              <w:jc w:val="center"/>
              <w:rPr>
                <w:rFonts w:ascii="宋体" w:hAnsi="宋体"/>
                <w:color w:val="auto"/>
                <w:szCs w:val="21"/>
              </w:rPr>
            </w:pPr>
            <w:r>
              <w:rPr>
                <w:rFonts w:hint="eastAsia" w:ascii="宋体" w:hAnsi="宋体"/>
                <w:color w:val="auto"/>
                <w:szCs w:val="21"/>
              </w:rPr>
              <w:t>检验项目</w:t>
            </w:r>
          </w:p>
        </w:tc>
        <w:tc>
          <w:tcPr>
            <w:tcW w:w="1372" w:type="dxa"/>
            <w:vMerge w:val="restart"/>
            <w:vAlign w:val="center"/>
          </w:tcPr>
          <w:p>
            <w:pPr>
              <w:snapToGrid w:val="0"/>
              <w:jc w:val="center"/>
              <w:rPr>
                <w:rFonts w:ascii="宋体" w:hAnsi="宋体"/>
                <w:color w:val="auto"/>
                <w:szCs w:val="21"/>
              </w:rPr>
            </w:pPr>
            <w:r>
              <w:rPr>
                <w:rFonts w:hint="eastAsia" w:ascii="宋体" w:hAnsi="宋体"/>
                <w:color w:val="auto"/>
                <w:szCs w:val="21"/>
              </w:rPr>
              <w:t>依据标准</w:t>
            </w:r>
          </w:p>
        </w:tc>
        <w:tc>
          <w:tcPr>
            <w:tcW w:w="2218" w:type="dxa"/>
            <w:vMerge w:val="restart"/>
            <w:vAlign w:val="center"/>
          </w:tcPr>
          <w:p>
            <w:pPr>
              <w:snapToGrid w:val="0"/>
              <w:jc w:val="center"/>
              <w:rPr>
                <w:rFonts w:ascii="宋体" w:hAnsi="宋体"/>
                <w:color w:val="auto"/>
                <w:szCs w:val="21"/>
              </w:rPr>
            </w:pPr>
            <w:r>
              <w:rPr>
                <w:rFonts w:hint="eastAsia" w:ascii="宋体" w:hAnsi="宋体"/>
                <w:color w:val="auto"/>
                <w:szCs w:val="21"/>
              </w:rPr>
              <w:t>检测方法</w:t>
            </w:r>
          </w:p>
        </w:tc>
        <w:tc>
          <w:tcPr>
            <w:tcW w:w="1985" w:type="dxa"/>
            <w:gridSpan w:val="2"/>
            <w:vAlign w:val="center"/>
          </w:tcPr>
          <w:p>
            <w:pPr>
              <w:snapToGrid w:val="0"/>
              <w:jc w:val="center"/>
              <w:rPr>
                <w:rFonts w:ascii="宋体" w:hAnsi="宋体"/>
                <w:color w:val="auto"/>
                <w:szCs w:val="21"/>
              </w:rPr>
            </w:pPr>
            <w:r>
              <w:rPr>
                <w:rFonts w:hint="eastAsia" w:ascii="宋体" w:hAnsi="宋体"/>
                <w:color w:val="auto"/>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696" w:type="dxa"/>
            <w:vMerge w:val="continue"/>
            <w:vAlign w:val="center"/>
          </w:tcPr>
          <w:p>
            <w:pPr>
              <w:snapToGrid w:val="0"/>
              <w:ind w:firstLine="420"/>
              <w:jc w:val="center"/>
              <w:rPr>
                <w:rFonts w:ascii="宋体" w:hAnsi="宋体"/>
                <w:color w:val="auto"/>
                <w:szCs w:val="21"/>
              </w:rPr>
            </w:pPr>
          </w:p>
        </w:tc>
        <w:tc>
          <w:tcPr>
            <w:tcW w:w="2250" w:type="dxa"/>
            <w:vMerge w:val="continue"/>
            <w:vAlign w:val="center"/>
          </w:tcPr>
          <w:p>
            <w:pPr>
              <w:snapToGrid w:val="0"/>
              <w:ind w:firstLine="420"/>
              <w:jc w:val="center"/>
              <w:rPr>
                <w:rFonts w:ascii="宋体" w:hAnsi="宋体"/>
                <w:color w:val="auto"/>
                <w:szCs w:val="21"/>
              </w:rPr>
            </w:pPr>
          </w:p>
        </w:tc>
        <w:tc>
          <w:tcPr>
            <w:tcW w:w="1372" w:type="dxa"/>
            <w:vMerge w:val="continue"/>
            <w:vAlign w:val="center"/>
          </w:tcPr>
          <w:p>
            <w:pPr>
              <w:snapToGrid w:val="0"/>
              <w:ind w:firstLine="420"/>
              <w:jc w:val="center"/>
              <w:rPr>
                <w:rFonts w:ascii="宋体" w:hAnsi="宋体"/>
                <w:color w:val="auto"/>
                <w:szCs w:val="21"/>
              </w:rPr>
            </w:pPr>
          </w:p>
        </w:tc>
        <w:tc>
          <w:tcPr>
            <w:tcW w:w="2218" w:type="dxa"/>
            <w:vMerge w:val="continue"/>
            <w:vAlign w:val="center"/>
          </w:tcPr>
          <w:p>
            <w:pPr>
              <w:snapToGrid w:val="0"/>
              <w:ind w:firstLine="420"/>
              <w:jc w:val="center"/>
              <w:rPr>
                <w:rFonts w:ascii="宋体" w:hAnsi="宋体"/>
                <w:color w:val="auto"/>
                <w:szCs w:val="21"/>
              </w:rPr>
            </w:pPr>
          </w:p>
        </w:tc>
        <w:tc>
          <w:tcPr>
            <w:tcW w:w="992" w:type="dxa"/>
            <w:vAlign w:val="center"/>
          </w:tcPr>
          <w:p>
            <w:pPr>
              <w:snapToGrid w:val="0"/>
              <w:jc w:val="center"/>
              <w:rPr>
                <w:rFonts w:ascii="宋体" w:hAnsi="宋体"/>
                <w:color w:val="auto"/>
                <w:szCs w:val="21"/>
              </w:rPr>
            </w:pPr>
            <w:r>
              <w:rPr>
                <w:rFonts w:hint="eastAsia" w:ascii="宋体" w:hAnsi="宋体"/>
                <w:color w:val="auto"/>
                <w:szCs w:val="21"/>
              </w:rPr>
              <w:t>A类</w:t>
            </w:r>
            <w:r>
              <w:rPr>
                <w:rFonts w:hint="eastAsia" w:ascii="宋体" w:hAnsi="宋体"/>
                <w:color w:val="auto"/>
                <w:szCs w:val="21"/>
                <w:vertAlign w:val="superscript"/>
              </w:rPr>
              <w:t>a</w:t>
            </w:r>
          </w:p>
        </w:tc>
        <w:tc>
          <w:tcPr>
            <w:tcW w:w="993" w:type="dxa"/>
            <w:vAlign w:val="center"/>
          </w:tcPr>
          <w:p>
            <w:pPr>
              <w:snapToGrid w:val="0"/>
              <w:jc w:val="center"/>
              <w:rPr>
                <w:rFonts w:ascii="宋体" w:hAnsi="宋体"/>
                <w:color w:val="auto"/>
                <w:szCs w:val="21"/>
              </w:rPr>
            </w:pPr>
            <w:r>
              <w:rPr>
                <w:rFonts w:hint="eastAsia" w:ascii="宋体" w:hAnsi="宋体"/>
                <w:color w:val="auto"/>
                <w:szCs w:val="21"/>
              </w:rPr>
              <w:t>B类</w:t>
            </w:r>
            <w:r>
              <w:rPr>
                <w:rFonts w:hint="eastAsia" w:ascii="宋体" w:hAnsi="宋体"/>
                <w:color w:val="auto"/>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1</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服装外观质量</w:t>
            </w:r>
          </w:p>
        </w:tc>
        <w:tc>
          <w:tcPr>
            <w:tcW w:w="1372" w:type="dxa"/>
            <w:vMerge w:val="restart"/>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w:t>
            </w: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2</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面料甲醛含量</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12014-2009/5.1</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3</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面料pH值</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12014-2009/5.2</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4</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面料耐水色牢度</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12014-2009/5.5</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5</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面料耐干摩擦色牢度</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12014-2009/5.6</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6</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耐光色牢度</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12014-2009/5.7</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7</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断裂强力</w:t>
            </w:r>
          </w:p>
        </w:tc>
        <w:tc>
          <w:tcPr>
            <w:tcW w:w="1372" w:type="dxa"/>
            <w:vMerge w:val="continue"/>
            <w:vAlign w:val="center"/>
          </w:tcPr>
          <w:p>
            <w:pPr>
              <w:spacing w:before="100" w:beforeAutospacing="1" w:after="100" w:afterAutospacing="1"/>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12014-2009/5.8</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8</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点对点电阻</w:t>
            </w:r>
          </w:p>
        </w:tc>
        <w:tc>
          <w:tcPr>
            <w:tcW w:w="1372" w:type="dxa"/>
            <w:vMerge w:val="continue"/>
            <w:vAlign w:val="center"/>
          </w:tcPr>
          <w:p>
            <w:pPr>
              <w:spacing w:before="100" w:beforeAutospacing="1" w:after="100" w:afterAutospacing="1"/>
              <w:ind w:firstLine="417" w:firstLineChars="199"/>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12014-2009/附录A</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9</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服装带电电荷量</w:t>
            </w:r>
          </w:p>
        </w:tc>
        <w:tc>
          <w:tcPr>
            <w:tcW w:w="1372" w:type="dxa"/>
            <w:vMerge w:val="continue"/>
            <w:vAlign w:val="center"/>
          </w:tcPr>
          <w:p>
            <w:pPr>
              <w:spacing w:before="100" w:beforeAutospacing="1" w:after="100" w:afterAutospacing="1"/>
              <w:ind w:firstLine="417" w:firstLineChars="199"/>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12014-2009/附录B</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10</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透气率</w:t>
            </w:r>
          </w:p>
        </w:tc>
        <w:tc>
          <w:tcPr>
            <w:tcW w:w="1372" w:type="dxa"/>
            <w:vMerge w:val="continue"/>
            <w:vAlign w:val="center"/>
          </w:tcPr>
          <w:p>
            <w:pPr>
              <w:spacing w:before="100" w:beforeAutospacing="1" w:after="100" w:afterAutospacing="1"/>
              <w:ind w:firstLine="417" w:firstLineChars="199"/>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12014-2009/5.4</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pacing w:before="100" w:beforeAutospacing="1" w:after="100" w:afterAutospacing="1"/>
              <w:ind w:hanging="30"/>
              <w:contextualSpacing/>
              <w:jc w:val="center"/>
              <w:rPr>
                <w:rFonts w:ascii="宋体" w:hAnsi="宋体"/>
                <w:color w:val="auto"/>
                <w:szCs w:val="21"/>
              </w:rPr>
            </w:pPr>
            <w:r>
              <w:rPr>
                <w:rFonts w:hint="eastAsia" w:ascii="宋体" w:hAnsi="宋体"/>
                <w:color w:val="auto"/>
                <w:szCs w:val="21"/>
              </w:rPr>
              <w:t>11</w:t>
            </w:r>
          </w:p>
        </w:tc>
        <w:tc>
          <w:tcPr>
            <w:tcW w:w="2250"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接缝强力</w:t>
            </w:r>
          </w:p>
        </w:tc>
        <w:tc>
          <w:tcPr>
            <w:tcW w:w="1372" w:type="dxa"/>
            <w:vMerge w:val="continue"/>
            <w:vAlign w:val="center"/>
          </w:tcPr>
          <w:p>
            <w:pPr>
              <w:spacing w:before="100" w:beforeAutospacing="1" w:after="100" w:afterAutospacing="1"/>
              <w:ind w:firstLine="417" w:firstLineChars="199"/>
              <w:contextualSpacing/>
              <w:jc w:val="center"/>
              <w:rPr>
                <w:rFonts w:ascii="宋体" w:hAnsi="宋体"/>
                <w:color w:val="auto"/>
                <w:szCs w:val="21"/>
              </w:rPr>
            </w:pPr>
          </w:p>
        </w:tc>
        <w:tc>
          <w:tcPr>
            <w:tcW w:w="2218" w:type="dxa"/>
            <w:vAlign w:val="center"/>
          </w:tcPr>
          <w:p>
            <w:pPr>
              <w:spacing w:before="100" w:beforeAutospacing="1" w:after="100" w:afterAutospacing="1"/>
              <w:contextualSpacing/>
              <w:jc w:val="center"/>
              <w:rPr>
                <w:rFonts w:ascii="宋体" w:hAnsi="宋体"/>
                <w:color w:val="auto"/>
                <w:szCs w:val="21"/>
              </w:rPr>
            </w:pPr>
            <w:r>
              <w:rPr>
                <w:rFonts w:hint="eastAsia" w:ascii="宋体" w:hAnsi="宋体"/>
                <w:color w:val="auto"/>
                <w:szCs w:val="21"/>
              </w:rPr>
              <w:t>GB 12014-2009/5.9</w:t>
            </w:r>
          </w:p>
        </w:tc>
        <w:tc>
          <w:tcPr>
            <w:tcW w:w="992" w:type="dxa"/>
            <w:vAlign w:val="center"/>
          </w:tcPr>
          <w:p>
            <w:pPr>
              <w:spacing w:before="100" w:beforeAutospacing="1" w:after="100" w:afterAutospacing="1"/>
              <w:contextualSpacing/>
              <w:jc w:val="center"/>
              <w:rPr>
                <w:rFonts w:ascii="宋体" w:hAnsi="宋体"/>
                <w:color w:val="auto"/>
                <w:szCs w:val="21"/>
              </w:rPr>
            </w:pPr>
          </w:p>
        </w:tc>
        <w:tc>
          <w:tcPr>
            <w:tcW w:w="993" w:type="dxa"/>
            <w:vAlign w:val="center"/>
          </w:tcPr>
          <w:p>
            <w:pPr>
              <w:spacing w:before="100" w:beforeAutospacing="1" w:after="100" w:afterAutospacing="1"/>
              <w:contextualSpacing/>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1" w:type="dxa"/>
            <w:gridSpan w:val="6"/>
            <w:vAlign w:val="center"/>
          </w:tcPr>
          <w:p>
            <w:pPr>
              <w:snapToGrid w:val="0"/>
              <w:rPr>
                <w:rFonts w:ascii="宋体" w:hAnsi="宋体"/>
                <w:color w:val="auto"/>
                <w:szCs w:val="21"/>
              </w:rPr>
            </w:pPr>
            <w:r>
              <w:rPr>
                <w:rFonts w:ascii="宋体" w:hAnsi="宋体"/>
                <w:color w:val="auto"/>
                <w:szCs w:val="21"/>
              </w:rPr>
              <w:t>a</w:t>
            </w:r>
            <w:r>
              <w:rPr>
                <w:rFonts w:hint="eastAsia" w:ascii="宋体" w:hAnsi="宋体"/>
                <w:color w:val="auto"/>
                <w:szCs w:val="21"/>
              </w:rPr>
              <w:t xml:space="preserve"> 极重要质量项目</w:t>
            </w:r>
          </w:p>
          <w:p>
            <w:pPr>
              <w:snapToGrid w:val="0"/>
              <w:rPr>
                <w:rFonts w:ascii="宋体" w:hAnsi="宋体"/>
                <w:color w:val="auto"/>
                <w:szCs w:val="21"/>
              </w:rPr>
            </w:pPr>
            <w:r>
              <w:rPr>
                <w:rFonts w:ascii="宋体" w:hAnsi="宋体"/>
                <w:color w:val="auto"/>
                <w:szCs w:val="21"/>
              </w:rPr>
              <w:t>b</w:t>
            </w:r>
            <w:r>
              <w:rPr>
                <w:rFonts w:hint="eastAsia" w:ascii="宋体" w:hAnsi="宋体"/>
                <w:color w:val="auto"/>
                <w:szCs w:val="21"/>
              </w:rPr>
              <w:t xml:space="preserve"> 重要质量项目</w:t>
            </w:r>
          </w:p>
        </w:tc>
      </w:tr>
    </w:tbl>
    <w:p>
      <w:pPr>
        <w:snapToGrid w:val="0"/>
        <w:spacing w:line="440" w:lineRule="exact"/>
        <w:ind w:firstLine="417" w:firstLineChars="199"/>
        <w:rPr>
          <w:rFonts w:ascii="宋体" w:hAnsi="宋体"/>
          <w:color w:val="auto"/>
          <w:szCs w:val="21"/>
        </w:rPr>
      </w:pPr>
      <w:r>
        <w:rPr>
          <w:rFonts w:hint="eastAsia" w:ascii="宋体" w:hAnsi="宋体"/>
          <w:color w:val="auto"/>
          <w:szCs w:val="21"/>
        </w:rPr>
        <w:t>注：①极重要质量项目是指直接涉及人体健康、使用安全的指标；重要质量项目是指产品涉及环保、能效、关键性能或特征值的指标。</w:t>
      </w:r>
    </w:p>
    <w:p>
      <w:pPr>
        <w:snapToGrid w:val="0"/>
        <w:spacing w:line="440" w:lineRule="exact"/>
        <w:ind w:firstLine="420" w:firstLineChars="200"/>
        <w:rPr>
          <w:rFonts w:ascii="宋体" w:hAnsi="宋体"/>
          <w:color w:val="auto"/>
          <w:szCs w:val="21"/>
        </w:rPr>
      </w:pPr>
      <w:r>
        <w:rPr>
          <w:rFonts w:hint="eastAsia" w:ascii="宋体" w:hAnsi="宋体"/>
          <w:color w:val="auto"/>
          <w:szCs w:val="21"/>
        </w:rPr>
        <w:t>②上表所列检验项目是有关法律法规、标准等规定的，重点涉及健康、安全、节能、环保</w:t>
      </w:r>
      <w:r>
        <w:rPr>
          <w:rFonts w:ascii="ˎ̥" w:hAnsi="ˎ̥" w:cs="宋体"/>
          <w:color w:val="auto"/>
          <w:kern w:val="0"/>
          <w:szCs w:val="21"/>
        </w:rPr>
        <w:t>以及消费者、有关组织反映有质量问题</w:t>
      </w:r>
      <w:r>
        <w:rPr>
          <w:rFonts w:hint="eastAsia" w:ascii="ˎ̥" w:hAnsi="ˎ̥" w:cs="宋体"/>
          <w:color w:val="auto"/>
          <w:kern w:val="0"/>
          <w:szCs w:val="21"/>
        </w:rPr>
        <w:t>的</w:t>
      </w:r>
      <w:r>
        <w:rPr>
          <w:rFonts w:hint="eastAsia" w:ascii="宋体" w:hAnsi="宋体"/>
          <w:color w:val="auto"/>
          <w:szCs w:val="21"/>
        </w:rPr>
        <w:t>重要项目。</w:t>
      </w:r>
    </w:p>
    <w:p>
      <w:pPr>
        <w:widowControl/>
        <w:spacing w:line="440" w:lineRule="exact"/>
        <w:jc w:val="left"/>
        <w:rPr>
          <w:rFonts w:ascii="宋体" w:hAnsi="宋体"/>
          <w:color w:val="auto"/>
          <w:szCs w:val="21"/>
        </w:rPr>
      </w:pPr>
      <w:r>
        <w:rPr>
          <w:rFonts w:hint="eastAsia" w:ascii="宋体" w:hAnsi="宋体"/>
          <w:color w:val="auto"/>
          <w:szCs w:val="21"/>
        </w:rPr>
        <w:t>7.2 检验应注意的问题</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若被检产品明示的质量要求低于或包含细则中检验项目依据的推荐性标准要求时，应以被检产品明示的质量要求判定；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若被检产品明示的质量要求缺少本细则中检验项目依据的推荐性标准要求时，该项目不参与判定，但应在检验报告备注中进行说明。</w:t>
      </w:r>
    </w:p>
    <w:p>
      <w:pPr>
        <w:widowControl/>
        <w:spacing w:line="440" w:lineRule="exact"/>
        <w:jc w:val="left"/>
        <w:rPr>
          <w:rFonts w:ascii="宋体" w:hAnsi="宋体"/>
          <w:b/>
          <w:color w:val="auto"/>
          <w:szCs w:val="21"/>
        </w:rPr>
      </w:pPr>
    </w:p>
    <w:p>
      <w:pPr>
        <w:widowControl/>
        <w:spacing w:line="440" w:lineRule="exact"/>
        <w:jc w:val="left"/>
        <w:rPr>
          <w:rFonts w:ascii="宋体" w:hAnsi="宋体"/>
          <w:b/>
          <w:color w:val="auto"/>
          <w:szCs w:val="21"/>
        </w:rPr>
      </w:pPr>
      <w:r>
        <w:rPr>
          <w:rFonts w:hint="eastAsia" w:ascii="宋体" w:hAnsi="宋体"/>
          <w:b/>
          <w:color w:val="auto"/>
          <w:szCs w:val="21"/>
        </w:rPr>
        <w:t>8判定原则</w:t>
      </w:r>
    </w:p>
    <w:p>
      <w:pPr>
        <w:widowControl/>
        <w:spacing w:line="440" w:lineRule="exact"/>
        <w:jc w:val="left"/>
        <w:rPr>
          <w:rFonts w:ascii="宋体" w:hAnsi="宋体"/>
          <w:color w:val="auto"/>
          <w:szCs w:val="21"/>
        </w:rPr>
      </w:pPr>
      <w:r>
        <w:rPr>
          <w:rFonts w:hint="eastAsia" w:ascii="宋体" w:hAnsi="宋体"/>
          <w:color w:val="auto"/>
          <w:szCs w:val="21"/>
        </w:rPr>
        <w:t>8.</w:t>
      </w:r>
      <w:r>
        <w:rPr>
          <w:rFonts w:ascii="宋体" w:hAnsi="宋体"/>
          <w:color w:val="auto"/>
          <w:szCs w:val="21"/>
        </w:rPr>
        <w:t>1</w:t>
      </w:r>
      <w:r>
        <w:rPr>
          <w:rFonts w:hint="eastAsia" w:ascii="宋体" w:hAnsi="宋体"/>
          <w:color w:val="auto"/>
          <w:szCs w:val="21"/>
        </w:rPr>
        <w:t xml:space="preserve"> 经检验，若被抽产品所有检验项目全部合格，检验报告中的检验结论表述为:“依据xx号文中《2020年防静电服产品质量广西监督抽查实施细则》要求，对所抽样品的11个项目进行了检验，检验结果符合xxx（标准）的要求。综合判定：该产品本次监督抽查合格”。</w:t>
      </w:r>
    </w:p>
    <w:p>
      <w:pPr>
        <w:widowControl/>
        <w:spacing w:line="440" w:lineRule="exact"/>
        <w:jc w:val="left"/>
        <w:rPr>
          <w:rFonts w:ascii="宋体" w:hAnsi="宋体"/>
          <w:color w:val="auto"/>
          <w:szCs w:val="21"/>
        </w:rPr>
      </w:pPr>
      <w:r>
        <w:rPr>
          <w:rFonts w:hint="eastAsia" w:ascii="宋体" w:hAnsi="宋体"/>
          <w:color w:val="auto"/>
          <w:szCs w:val="21"/>
        </w:rPr>
        <w:t>8.</w:t>
      </w:r>
      <w:r>
        <w:rPr>
          <w:rFonts w:ascii="宋体" w:hAnsi="宋体"/>
          <w:color w:val="auto"/>
          <w:szCs w:val="21"/>
        </w:rPr>
        <w:t>2</w:t>
      </w:r>
      <w:r>
        <w:rPr>
          <w:rFonts w:hint="eastAsia" w:ascii="宋体" w:hAnsi="宋体"/>
          <w:color w:val="auto"/>
          <w:szCs w:val="21"/>
        </w:rPr>
        <w:t xml:space="preserve"> 经检验，若被抽产品有一项及以上不合格，检验报告中的检验结论表述为：“依据xx号文中《2020年防静电服产品质量广西监督抽查实施细则》要求，对所抽样品的11个项目进行了检验，其中xx项目的检验结果不符合xxx（标准）的要求。综合判定：该产品本次监督抽查不合格”。</w:t>
      </w:r>
    </w:p>
    <w:p>
      <w:pPr>
        <w:snapToGrid w:val="0"/>
        <w:spacing w:line="440" w:lineRule="exact"/>
        <w:rPr>
          <w:rFonts w:ascii="宋体" w:hAnsi="宋体"/>
          <w:b/>
          <w:color w:val="auto"/>
          <w:szCs w:val="21"/>
        </w:rPr>
      </w:pPr>
    </w:p>
    <w:p>
      <w:pPr>
        <w:snapToGrid w:val="0"/>
        <w:spacing w:line="440" w:lineRule="exact"/>
        <w:rPr>
          <w:rFonts w:ascii="宋体" w:hAnsi="宋体"/>
          <w:b/>
          <w:color w:val="auto"/>
          <w:szCs w:val="21"/>
        </w:rPr>
      </w:pPr>
      <w:r>
        <w:rPr>
          <w:rFonts w:hint="eastAsia" w:ascii="宋体" w:hAnsi="宋体"/>
          <w:b/>
          <w:color w:val="auto"/>
          <w:szCs w:val="21"/>
        </w:rPr>
        <w:t>9 异议处理</w:t>
      </w:r>
    </w:p>
    <w:p>
      <w:pPr>
        <w:snapToGrid w:val="0"/>
        <w:spacing w:line="440" w:lineRule="exact"/>
        <w:ind w:firstLine="420" w:firstLineChars="200"/>
        <w:rPr>
          <w:rFonts w:ascii="宋体" w:hAnsi="宋体"/>
          <w:iCs/>
          <w:color w:val="auto"/>
          <w:szCs w:val="21"/>
        </w:rPr>
      </w:pPr>
      <w:r>
        <w:rPr>
          <w:rFonts w:hint="eastAsia" w:ascii="宋体" w:hAnsi="宋体"/>
          <w:iCs/>
          <w:color w:val="auto"/>
          <w:szCs w:val="21"/>
        </w:rPr>
        <w:t>对判定不合格产品进行异议处理时，按以下方式进行：</w:t>
      </w:r>
    </w:p>
    <w:p>
      <w:pPr>
        <w:snapToGrid w:val="0"/>
        <w:spacing w:line="440" w:lineRule="exact"/>
        <w:rPr>
          <w:rFonts w:ascii="宋体" w:hAnsi="宋体"/>
          <w:color w:val="auto"/>
          <w:szCs w:val="21"/>
        </w:rPr>
      </w:pPr>
      <w:r>
        <w:rPr>
          <w:rFonts w:hint="eastAsia" w:ascii="宋体" w:hAnsi="宋体"/>
          <w:color w:val="auto"/>
          <w:szCs w:val="21"/>
        </w:rPr>
        <w:t>9.1  核查不合格项目相关证据，能够以记录（纸质记录或电子记录或影像记录）或与不合格项目相关联的其它质量数据等检验证据证明。</w:t>
      </w:r>
    </w:p>
    <w:p>
      <w:pPr>
        <w:snapToGrid w:val="0"/>
        <w:spacing w:line="440" w:lineRule="exact"/>
        <w:rPr>
          <w:rFonts w:ascii="宋体" w:hAnsi="宋体"/>
          <w:b/>
          <w:color w:val="auto"/>
          <w:szCs w:val="21"/>
        </w:rPr>
      </w:pPr>
      <w:r>
        <w:rPr>
          <w:rFonts w:hint="eastAsia" w:ascii="宋体" w:hAnsi="宋体"/>
          <w:color w:val="auto"/>
          <w:szCs w:val="21"/>
        </w:rPr>
        <w:t xml:space="preserve">9.2  </w:t>
      </w:r>
      <w:r>
        <w:rPr>
          <w:rFonts w:hint="eastAsia" w:ascii="宋体" w:hAnsi="宋体"/>
          <w:color w:val="auto"/>
          <w:szCs w:val="21"/>
        </w:rPr>
        <w:t>对需要复检并具备检验条件的，处理企业异议的</w:t>
      </w:r>
      <w:r>
        <w:rPr>
          <w:color w:val="auto"/>
        </w:rPr>
        <w:t>市场监督管理</w:t>
      </w:r>
      <w:r>
        <w:rPr>
          <w:rFonts w:hint="eastAsia" w:ascii="宋体" w:hAnsi="宋体"/>
          <w:color w:val="auto"/>
          <w:szCs w:val="21"/>
        </w:rPr>
        <w:t>部门按照《产品质量监督抽查管理暂行办法》要求组织复检机构对抽取的备用样品进行复检，并出具检验报告。复检结论为最终结论</w:t>
      </w:r>
      <w:r>
        <w:rPr>
          <w:rFonts w:hint="eastAsia" w:ascii="宋体" w:hAnsi="宋体"/>
          <w:color w:val="auto"/>
          <w:szCs w:val="21"/>
        </w:rPr>
        <w:t>。</w:t>
      </w:r>
    </w:p>
    <w:p>
      <w:pPr>
        <w:snapToGrid w:val="0"/>
        <w:spacing w:line="440" w:lineRule="exact"/>
        <w:rPr>
          <w:rFonts w:ascii="宋体" w:hAnsi="宋体"/>
          <w:b/>
          <w:color w:val="auto"/>
          <w:szCs w:val="21"/>
        </w:rPr>
      </w:pPr>
    </w:p>
    <w:p>
      <w:pPr>
        <w:snapToGrid w:val="0"/>
        <w:spacing w:line="440" w:lineRule="exact"/>
        <w:rPr>
          <w:rFonts w:ascii="宋体" w:hAnsi="宋体"/>
          <w:b/>
          <w:color w:val="auto"/>
          <w:szCs w:val="21"/>
        </w:rPr>
      </w:pPr>
      <w:r>
        <w:rPr>
          <w:rFonts w:hint="eastAsia" w:ascii="宋体" w:hAnsi="宋体"/>
          <w:b/>
          <w:color w:val="auto"/>
          <w:szCs w:val="21"/>
        </w:rPr>
        <w:t>10 附则</w:t>
      </w:r>
    </w:p>
    <w:p>
      <w:pPr>
        <w:snapToGrid w:val="0"/>
        <w:spacing w:line="440" w:lineRule="exact"/>
        <w:rPr>
          <w:rFonts w:ascii="宋体" w:hAnsi="宋体"/>
          <w:iCs/>
          <w:color w:val="auto"/>
          <w:szCs w:val="21"/>
        </w:rPr>
      </w:pPr>
      <w:r>
        <w:rPr>
          <w:rFonts w:hint="eastAsia" w:ascii="宋体" w:hAnsi="宋体"/>
          <w:iCs/>
          <w:color w:val="auto"/>
          <w:szCs w:val="21"/>
        </w:rPr>
        <w:t xml:space="preserve">    本细则编制单位：广西壮族自治区产品质量检验研究院。</w:t>
      </w:r>
    </w:p>
    <w:p>
      <w:pPr>
        <w:snapToGrid w:val="0"/>
        <w:spacing w:line="440" w:lineRule="exact"/>
        <w:ind w:firstLine="420"/>
        <w:rPr>
          <w:rFonts w:ascii="宋体" w:hAnsi="宋体"/>
          <w:iCs/>
          <w:color w:val="auto"/>
          <w:szCs w:val="21"/>
        </w:rPr>
      </w:pPr>
      <w:r>
        <w:rPr>
          <w:rFonts w:hint="eastAsia" w:ascii="宋体" w:hAnsi="宋体"/>
          <w:iCs/>
          <w:color w:val="auto"/>
          <w:szCs w:val="21"/>
        </w:rPr>
        <w:t>本细则由广西壮族自治区市场监督管理局产品质量安全监督管理处</w:t>
      </w:r>
      <w:r>
        <w:rPr>
          <w:rFonts w:hint="eastAsia" w:ascii="宋体" w:hAnsi="宋体"/>
          <w:color w:val="auto"/>
        </w:rPr>
        <w:t>（</w:t>
      </w:r>
      <w:r>
        <w:rPr>
          <w:rFonts w:ascii="宋体" w:hAnsi="宋体"/>
          <w:color w:val="auto"/>
        </w:rPr>
        <w:t>食品安全抽检监测处</w:t>
      </w:r>
      <w:r>
        <w:rPr>
          <w:rFonts w:hint="eastAsia" w:ascii="宋体" w:hAnsi="宋体"/>
          <w:color w:val="auto"/>
        </w:rPr>
        <w:t>）</w:t>
      </w:r>
      <w:r>
        <w:rPr>
          <w:rFonts w:hint="eastAsia" w:ascii="宋体" w:hAnsi="宋体"/>
          <w:iCs/>
          <w:color w:val="auto"/>
          <w:szCs w:val="21"/>
        </w:rPr>
        <w:t>管理。</w:t>
      </w:r>
    </w:p>
    <w:p>
      <w:pPr>
        <w:widowControl/>
        <w:spacing w:line="440" w:lineRule="exact"/>
        <w:jc w:val="left"/>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55BCA"/>
    <w:rsid w:val="002C6C3B"/>
    <w:rsid w:val="003D65ED"/>
    <w:rsid w:val="00445D74"/>
    <w:rsid w:val="00BF6E26"/>
    <w:rsid w:val="10C95250"/>
    <w:rsid w:val="17982FC5"/>
    <w:rsid w:val="4BC94186"/>
    <w:rsid w:val="50BA688D"/>
    <w:rsid w:val="5CB8587A"/>
    <w:rsid w:val="62FE77E7"/>
    <w:rsid w:val="704B186E"/>
    <w:rsid w:val="75E55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left"/>
      <w:outlineLvl w:val="0"/>
    </w:pPr>
    <w:rPr>
      <w:rFonts w:eastAsia="宋体" w:cs="Times New Roman"/>
      <w:b/>
      <w:kern w:val="44"/>
      <w:sz w:val="28"/>
    </w:rPr>
  </w:style>
  <w:style w:type="paragraph" w:styleId="3">
    <w:name w:val="heading 2"/>
    <w:basedOn w:val="1"/>
    <w:next w:val="1"/>
    <w:semiHidden/>
    <w:unhideWhenUsed/>
    <w:qFormat/>
    <w:uiPriority w:val="0"/>
    <w:pPr>
      <w:keepNext/>
      <w:keepLines/>
      <w:spacing w:before="260" w:after="260" w:line="360" w:lineRule="auto"/>
      <w:jc w:val="left"/>
      <w:outlineLvl w:val="1"/>
    </w:pPr>
    <w:rPr>
      <w:rFonts w:ascii="Arial" w:hAnsi="Arial" w:eastAsia="宋体" w:cs="Times New Roman"/>
      <w:b/>
      <w:sz w:val="24"/>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章标题"/>
    <w:next w:val="1"/>
    <w:qFormat/>
    <w:uiPriority w:val="99"/>
    <w:pPr>
      <w:spacing w:beforeLines="50" w:afterLines="50" w:line="336" w:lineRule="auto"/>
      <w:jc w:val="both"/>
      <w:outlineLvl w:val="1"/>
    </w:pPr>
    <w:rPr>
      <w:rFonts w:ascii="黑体" w:hAnsi="Times New Roman" w:eastAsia="黑体" w:cs="Times New Roman"/>
      <w:sz w:val="21"/>
      <w:szCs w:val="21"/>
      <w:lang w:val="en-US" w:eastAsia="zh-CN" w:bidi="ar-SA"/>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5</Pages>
  <Words>498</Words>
  <Characters>2842</Characters>
  <Lines>23</Lines>
  <Paragraphs>6</Paragraphs>
  <TotalTime>26</TotalTime>
  <ScaleCrop>false</ScaleCrop>
  <LinksUpToDate>false</LinksUpToDate>
  <CharactersWithSpaces>3334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2020-05-12T02:32:00Z</dcterms:created>
  <dc:creator>MademoiselleFrance</dc:creator>
  <cp:lastModifiedBy>黄飞雪</cp:lastModifiedBy>
  <dcterms:modified xsi:type="dcterms:W3CDTF">2020-05-29T10:08:53Z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