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color w:val="auto"/>
          <w:sz w:val="32"/>
          <w:szCs w:val="32"/>
        </w:rPr>
      </w:pPr>
      <w:r>
        <w:rPr>
          <w:rFonts w:hint="eastAsia" w:ascii="方正小标宋_GBK" w:hAnsi="方正小标宋_GBK" w:eastAsia="方正小标宋_GBK" w:cs="方正小标宋_GBK"/>
          <w:color w:val="auto"/>
          <w:sz w:val="32"/>
          <w:szCs w:val="32"/>
        </w:rPr>
        <w:t>2020年移动电源产品质量广西监督抽查实施细则</w:t>
      </w:r>
    </w:p>
    <w:p>
      <w:pPr>
        <w:spacing w:before="156" w:beforeLines="50" w:line="400" w:lineRule="exact"/>
        <w:rPr>
          <w:rFonts w:ascii="黑体" w:hAnsi="黑体" w:eastAsia="黑体" w:cs="宋体"/>
          <w:bCs/>
          <w:color w:val="auto"/>
          <w:szCs w:val="21"/>
        </w:rPr>
      </w:pPr>
      <w:r>
        <w:rPr>
          <w:rFonts w:hint="eastAsia" w:ascii="黑体" w:hAnsi="黑体" w:eastAsia="黑体" w:cs="宋体"/>
          <w:bCs/>
          <w:color w:val="auto"/>
          <w:szCs w:val="21"/>
        </w:rPr>
        <w:t>1 范围</w:t>
      </w:r>
    </w:p>
    <w:p>
      <w:pPr>
        <w:snapToGrid w:val="0"/>
        <w:spacing w:line="440" w:lineRule="exact"/>
        <w:ind w:firstLine="403" w:firstLineChars="192"/>
        <w:rPr>
          <w:rFonts w:ascii="宋体" w:hAnsi="宋体"/>
          <w:color w:val="auto"/>
          <w:szCs w:val="21"/>
        </w:rPr>
      </w:pPr>
      <w:r>
        <w:rPr>
          <w:rFonts w:hint="eastAsia" w:ascii="宋体" w:hAnsi="宋体"/>
          <w:color w:val="auto"/>
          <w:szCs w:val="21"/>
        </w:rPr>
        <w:t>本细则适用于移动电源产品质量广西监督抽查，</w:t>
      </w:r>
      <w:r>
        <w:rPr>
          <w:rFonts w:ascii="宋体" w:hAnsi="宋体"/>
          <w:color w:val="auto"/>
          <w:kern w:val="0"/>
          <w:szCs w:val="21"/>
        </w:rPr>
        <w:t>其他</w:t>
      </w:r>
      <w:r>
        <w:rPr>
          <w:rFonts w:hint="eastAsia" w:ascii="宋体" w:hAnsi="宋体"/>
          <w:iCs/>
          <w:color w:val="auto"/>
          <w:szCs w:val="21"/>
        </w:rPr>
        <w:t>市场监管</w:t>
      </w:r>
      <w:r>
        <w:rPr>
          <w:rFonts w:ascii="宋体" w:hAnsi="宋体"/>
          <w:color w:val="auto"/>
          <w:kern w:val="0"/>
          <w:szCs w:val="21"/>
        </w:rPr>
        <w:t>部门组织的及针对特殊情况的监督抽查可参考本细则执行</w:t>
      </w:r>
      <w:r>
        <w:rPr>
          <w:rFonts w:hint="eastAsia" w:ascii="宋体" w:hAnsi="宋体" w:cs="Sim Sun"/>
          <w:color w:val="auto"/>
          <w:kern w:val="0"/>
          <w:szCs w:val="21"/>
        </w:rPr>
        <w:t>。监督抽查产品范围为</w:t>
      </w:r>
      <w:r>
        <w:rPr>
          <w:rFonts w:hint="eastAsia" w:ascii="宋体" w:hAnsi="宋体"/>
          <w:color w:val="auto"/>
          <w:szCs w:val="21"/>
        </w:rPr>
        <w:t>便携式数字设备用的输入电压不大于250V，输出直流电压不大于60V，单端口输出电流不大于5A，采用有线输出方式，使用锂离子电池及电池组的移动电源。</w:t>
      </w:r>
      <w:r>
        <w:rPr>
          <w:rFonts w:hint="eastAsia" w:ascii="宋体" w:hAnsi="宋体" w:cs="Sim Sun"/>
          <w:color w:val="auto"/>
          <w:kern w:val="0"/>
          <w:szCs w:val="21"/>
        </w:rPr>
        <w:t>本细则内容</w:t>
      </w:r>
      <w:bookmarkStart w:id="0" w:name="_GoBack"/>
      <w:bookmarkEnd w:id="0"/>
      <w:r>
        <w:rPr>
          <w:rFonts w:hint="eastAsia" w:ascii="宋体" w:hAnsi="宋体" w:cs="Sim Sun"/>
          <w:color w:val="auto"/>
          <w:kern w:val="0"/>
          <w:szCs w:val="21"/>
        </w:rPr>
        <w:t>包括产品分类、术语和定义、企业产品生产规模划分、检验依据、抽样、检验要求、判定原则、异议处理及附则。</w:t>
      </w:r>
    </w:p>
    <w:p>
      <w:pPr>
        <w:spacing w:before="156" w:beforeLines="50" w:line="400" w:lineRule="exact"/>
        <w:rPr>
          <w:rFonts w:ascii="黑体" w:hAnsi="黑体" w:eastAsia="黑体" w:cs="宋体"/>
          <w:bCs/>
          <w:color w:val="auto"/>
          <w:szCs w:val="21"/>
        </w:rPr>
      </w:pPr>
      <w:r>
        <w:rPr>
          <w:rFonts w:hint="eastAsia" w:ascii="黑体" w:hAnsi="黑体" w:eastAsia="黑体" w:cs="宋体"/>
          <w:bCs/>
          <w:color w:val="auto"/>
          <w:szCs w:val="21"/>
        </w:rPr>
        <w:t>2 产品分类</w:t>
      </w:r>
    </w:p>
    <w:p>
      <w:pPr>
        <w:snapToGrid w:val="0"/>
        <w:spacing w:line="400" w:lineRule="exact"/>
        <w:ind w:firstLine="210" w:firstLineChars="100"/>
        <w:rPr>
          <w:rFonts w:ascii="宋体" w:hAnsi="宋体" w:cs="宋体"/>
          <w:color w:val="auto"/>
          <w:szCs w:val="21"/>
        </w:rPr>
      </w:pPr>
      <w:r>
        <w:rPr>
          <w:rFonts w:hint="eastAsia" w:ascii="宋体" w:hAnsi="宋体" w:cs="宋体"/>
          <w:color w:val="auto"/>
          <w:szCs w:val="21"/>
        </w:rPr>
        <w:t>产品分类及代码见表1。</w:t>
      </w:r>
    </w:p>
    <w:p>
      <w:pPr>
        <w:snapToGrid w:val="0"/>
        <w:spacing w:line="400" w:lineRule="exact"/>
        <w:ind w:firstLine="420"/>
        <w:jc w:val="center"/>
        <w:rPr>
          <w:rFonts w:ascii="宋体" w:hAnsi="宋体" w:cs="宋体"/>
          <w:color w:val="auto"/>
          <w:szCs w:val="21"/>
        </w:rPr>
      </w:pPr>
      <w:r>
        <w:rPr>
          <w:rFonts w:hint="eastAsia" w:ascii="宋体" w:hAnsi="宋体" w:cs="宋体"/>
          <w:color w:val="auto"/>
          <w:szCs w:val="21"/>
        </w:rPr>
        <w:t>表1  产品分类及代码</w:t>
      </w:r>
    </w:p>
    <w:tbl>
      <w:tblPr>
        <w:tblStyle w:val="15"/>
        <w:tblW w:w="61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0"/>
        <w:gridCol w:w="1800"/>
        <w:gridCol w:w="180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40" w:type="dxa"/>
            <w:vAlign w:val="center"/>
          </w:tcPr>
          <w:p>
            <w:pPr>
              <w:snapToGrid w:val="0"/>
              <w:spacing w:line="440" w:lineRule="exact"/>
              <w:jc w:val="center"/>
              <w:rPr>
                <w:rFonts w:ascii="宋体" w:hAnsi="宋体"/>
                <w:color w:val="auto"/>
                <w:szCs w:val="21"/>
              </w:rPr>
            </w:pPr>
            <w:r>
              <w:rPr>
                <w:rFonts w:hint="eastAsia" w:ascii="宋体" w:hAnsi="宋体"/>
                <w:color w:val="auto"/>
                <w:szCs w:val="21"/>
              </w:rPr>
              <w:t>产品分类</w:t>
            </w:r>
          </w:p>
        </w:tc>
        <w:tc>
          <w:tcPr>
            <w:tcW w:w="1800" w:type="dxa"/>
            <w:vAlign w:val="center"/>
          </w:tcPr>
          <w:p>
            <w:pPr>
              <w:snapToGrid w:val="0"/>
              <w:spacing w:line="440" w:lineRule="exact"/>
              <w:jc w:val="center"/>
              <w:rPr>
                <w:rFonts w:ascii="宋体" w:hAnsi="宋体"/>
                <w:color w:val="auto"/>
                <w:szCs w:val="21"/>
              </w:rPr>
            </w:pPr>
            <w:r>
              <w:rPr>
                <w:rFonts w:hint="eastAsia" w:ascii="宋体" w:hAnsi="宋体"/>
                <w:color w:val="auto"/>
                <w:szCs w:val="21"/>
              </w:rPr>
              <w:t>一级分类</w:t>
            </w:r>
          </w:p>
        </w:tc>
        <w:tc>
          <w:tcPr>
            <w:tcW w:w="1800" w:type="dxa"/>
            <w:vAlign w:val="center"/>
          </w:tcPr>
          <w:p>
            <w:pPr>
              <w:snapToGrid w:val="0"/>
              <w:spacing w:line="440" w:lineRule="exact"/>
              <w:jc w:val="center"/>
              <w:rPr>
                <w:rFonts w:ascii="宋体" w:hAnsi="宋体"/>
                <w:color w:val="auto"/>
                <w:szCs w:val="21"/>
              </w:rPr>
            </w:pPr>
            <w:r>
              <w:rPr>
                <w:rFonts w:hint="eastAsia" w:ascii="宋体" w:hAnsi="宋体"/>
                <w:color w:val="auto"/>
                <w:szCs w:val="21"/>
              </w:rPr>
              <w:t>二级分类</w:t>
            </w:r>
          </w:p>
        </w:tc>
        <w:tc>
          <w:tcPr>
            <w:tcW w:w="1440" w:type="dxa"/>
            <w:vAlign w:val="center"/>
          </w:tcPr>
          <w:p>
            <w:pPr>
              <w:snapToGrid w:val="0"/>
              <w:spacing w:line="440" w:lineRule="exact"/>
              <w:jc w:val="center"/>
              <w:rPr>
                <w:rFonts w:ascii="宋体" w:hAnsi="宋体"/>
                <w:color w:val="auto"/>
                <w:szCs w:val="21"/>
              </w:rPr>
            </w:pPr>
            <w:r>
              <w:rPr>
                <w:rFonts w:hint="eastAsia" w:ascii="宋体" w:hAnsi="宋体"/>
                <w:color w:val="auto"/>
                <w:szCs w:val="21"/>
              </w:rPr>
              <w:t>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40" w:type="dxa"/>
            <w:vAlign w:val="center"/>
          </w:tcPr>
          <w:p>
            <w:pPr>
              <w:snapToGrid w:val="0"/>
              <w:spacing w:line="440" w:lineRule="exact"/>
              <w:jc w:val="center"/>
              <w:rPr>
                <w:rFonts w:ascii="宋体" w:hAnsi="宋体"/>
                <w:color w:val="auto"/>
                <w:szCs w:val="21"/>
              </w:rPr>
            </w:pPr>
            <w:r>
              <w:rPr>
                <w:rFonts w:hint="eastAsia" w:ascii="宋体" w:hAnsi="宋体"/>
                <w:color w:val="auto"/>
                <w:szCs w:val="21"/>
              </w:rPr>
              <w:t>分类代码</w:t>
            </w:r>
          </w:p>
        </w:tc>
        <w:tc>
          <w:tcPr>
            <w:tcW w:w="1800" w:type="dxa"/>
            <w:vAlign w:val="center"/>
          </w:tcPr>
          <w:p>
            <w:pPr>
              <w:snapToGrid w:val="0"/>
              <w:spacing w:line="440" w:lineRule="exact"/>
              <w:jc w:val="center"/>
              <w:rPr>
                <w:rFonts w:ascii="宋体" w:hAnsi="宋体"/>
                <w:color w:val="auto"/>
                <w:szCs w:val="21"/>
              </w:rPr>
            </w:pPr>
            <w:r>
              <w:rPr>
                <w:rFonts w:hint="eastAsia" w:ascii="宋体" w:hAnsi="宋体"/>
                <w:color w:val="auto"/>
                <w:szCs w:val="21"/>
              </w:rPr>
              <w:t>2</w:t>
            </w:r>
          </w:p>
        </w:tc>
        <w:tc>
          <w:tcPr>
            <w:tcW w:w="1800" w:type="dxa"/>
            <w:vAlign w:val="center"/>
          </w:tcPr>
          <w:p>
            <w:pPr>
              <w:snapToGrid w:val="0"/>
              <w:spacing w:line="440" w:lineRule="exact"/>
              <w:jc w:val="center"/>
              <w:rPr>
                <w:rFonts w:ascii="宋体" w:hAnsi="宋体"/>
                <w:color w:val="auto"/>
                <w:szCs w:val="21"/>
              </w:rPr>
            </w:pPr>
            <w:r>
              <w:rPr>
                <w:rFonts w:hint="eastAsia" w:ascii="宋体" w:hAnsi="宋体"/>
                <w:color w:val="auto"/>
                <w:szCs w:val="21"/>
              </w:rPr>
              <w:t>202</w:t>
            </w:r>
          </w:p>
        </w:tc>
        <w:tc>
          <w:tcPr>
            <w:tcW w:w="1440" w:type="dxa"/>
            <w:vAlign w:val="center"/>
          </w:tcPr>
          <w:p>
            <w:pPr>
              <w:snapToGrid w:val="0"/>
              <w:spacing w:line="440" w:lineRule="exact"/>
              <w:jc w:val="center"/>
              <w:rPr>
                <w:rFonts w:ascii="宋体" w:hAnsi="宋体"/>
                <w:color w:val="auto"/>
                <w:szCs w:val="21"/>
              </w:rPr>
            </w:pPr>
            <w:r>
              <w:rPr>
                <w:rFonts w:hint="eastAsia" w:ascii="宋体" w:hAnsi="宋体"/>
                <w:color w:val="auto"/>
                <w:szCs w:val="21"/>
              </w:rPr>
              <w:t>202.21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40" w:type="dxa"/>
            <w:vAlign w:val="center"/>
          </w:tcPr>
          <w:p>
            <w:pPr>
              <w:snapToGrid w:val="0"/>
              <w:spacing w:line="440" w:lineRule="exact"/>
              <w:jc w:val="center"/>
              <w:rPr>
                <w:rFonts w:ascii="宋体" w:hAnsi="宋体"/>
                <w:color w:val="auto"/>
                <w:szCs w:val="21"/>
              </w:rPr>
            </w:pPr>
            <w:r>
              <w:rPr>
                <w:rFonts w:hint="eastAsia" w:ascii="宋体" w:hAnsi="宋体"/>
                <w:color w:val="auto"/>
                <w:szCs w:val="21"/>
              </w:rPr>
              <w:t>分类名称</w:t>
            </w:r>
          </w:p>
        </w:tc>
        <w:tc>
          <w:tcPr>
            <w:tcW w:w="1800" w:type="dxa"/>
            <w:vAlign w:val="center"/>
          </w:tcPr>
          <w:p>
            <w:pPr>
              <w:snapToGrid w:val="0"/>
              <w:spacing w:line="440" w:lineRule="exact"/>
              <w:jc w:val="center"/>
              <w:rPr>
                <w:rFonts w:ascii="宋体" w:hAnsi="宋体"/>
                <w:color w:val="auto"/>
                <w:szCs w:val="21"/>
              </w:rPr>
            </w:pPr>
            <w:r>
              <w:rPr>
                <w:rFonts w:hint="eastAsia" w:ascii="宋体" w:hAnsi="宋体"/>
                <w:color w:val="auto"/>
                <w:szCs w:val="21"/>
              </w:rPr>
              <w:t>电子电器</w:t>
            </w:r>
          </w:p>
        </w:tc>
        <w:tc>
          <w:tcPr>
            <w:tcW w:w="1800" w:type="dxa"/>
            <w:vAlign w:val="center"/>
          </w:tcPr>
          <w:p>
            <w:pPr>
              <w:snapToGrid w:val="0"/>
              <w:spacing w:line="440" w:lineRule="exact"/>
              <w:jc w:val="center"/>
              <w:rPr>
                <w:rFonts w:ascii="宋体" w:hAnsi="宋体"/>
                <w:color w:val="auto"/>
                <w:szCs w:val="21"/>
              </w:rPr>
            </w:pPr>
            <w:r>
              <w:rPr>
                <w:rFonts w:hint="eastAsia" w:ascii="宋体" w:hAnsi="宋体"/>
                <w:color w:val="auto"/>
                <w:szCs w:val="21"/>
              </w:rPr>
              <w:t>电子产品</w:t>
            </w:r>
          </w:p>
        </w:tc>
        <w:tc>
          <w:tcPr>
            <w:tcW w:w="1440" w:type="dxa"/>
            <w:vAlign w:val="center"/>
          </w:tcPr>
          <w:p>
            <w:pPr>
              <w:snapToGrid w:val="0"/>
              <w:spacing w:line="440" w:lineRule="exact"/>
              <w:jc w:val="center"/>
              <w:rPr>
                <w:rFonts w:ascii="宋体" w:hAnsi="宋体"/>
                <w:color w:val="auto"/>
                <w:szCs w:val="21"/>
              </w:rPr>
            </w:pPr>
            <w:r>
              <w:rPr>
                <w:rFonts w:hint="eastAsia" w:ascii="宋体" w:hAnsi="宋体"/>
                <w:color w:val="auto"/>
                <w:szCs w:val="21"/>
              </w:rPr>
              <w:t>移动电源</w:t>
            </w:r>
          </w:p>
        </w:tc>
      </w:tr>
    </w:tbl>
    <w:p>
      <w:pPr>
        <w:spacing w:before="156" w:beforeLines="50" w:line="400" w:lineRule="exact"/>
        <w:rPr>
          <w:rFonts w:ascii="黑体" w:hAnsi="黑体" w:eastAsia="黑体" w:cs="宋体"/>
          <w:bCs/>
          <w:color w:val="auto"/>
          <w:szCs w:val="21"/>
        </w:rPr>
      </w:pPr>
      <w:r>
        <w:rPr>
          <w:rFonts w:hint="eastAsia" w:ascii="黑体" w:hAnsi="黑体" w:eastAsia="黑体" w:cs="宋体"/>
          <w:bCs/>
          <w:color w:val="auto"/>
          <w:szCs w:val="21"/>
        </w:rPr>
        <w:t xml:space="preserve">3  术语和定义  </w:t>
      </w:r>
    </w:p>
    <w:p>
      <w:pPr>
        <w:spacing w:line="400" w:lineRule="exact"/>
        <w:rPr>
          <w:rFonts w:ascii="宋体" w:hAnsi="宋体" w:cs="宋体"/>
          <w:color w:val="auto"/>
          <w:szCs w:val="21"/>
        </w:rPr>
      </w:pPr>
      <w:r>
        <w:rPr>
          <w:rFonts w:hint="eastAsia" w:ascii="宋体" w:hAnsi="宋体" w:cs="宋体"/>
          <w:color w:val="auto"/>
          <w:szCs w:val="21"/>
        </w:rPr>
        <w:t xml:space="preserve">    本细则中未列出的术语和定义同相关引用标准。</w:t>
      </w:r>
    </w:p>
    <w:p>
      <w:pPr>
        <w:spacing w:before="156" w:beforeLines="50" w:line="400" w:lineRule="exact"/>
        <w:rPr>
          <w:rFonts w:ascii="黑体" w:hAnsi="黑体" w:eastAsia="黑体" w:cs="宋体"/>
          <w:bCs/>
          <w:color w:val="auto"/>
          <w:szCs w:val="21"/>
        </w:rPr>
      </w:pPr>
      <w:r>
        <w:rPr>
          <w:rFonts w:hint="eastAsia" w:ascii="黑体" w:hAnsi="黑体" w:eastAsia="黑体" w:cs="宋体"/>
          <w:bCs/>
          <w:color w:val="auto"/>
          <w:szCs w:val="21"/>
        </w:rPr>
        <w:t>4  企业移动电源产品生产规模划分</w:t>
      </w:r>
    </w:p>
    <w:p>
      <w:pPr>
        <w:spacing w:line="400" w:lineRule="exact"/>
        <w:ind w:firstLine="420" w:firstLineChars="200"/>
        <w:rPr>
          <w:rFonts w:ascii="宋体" w:hAnsi="宋体" w:cs="宋体"/>
          <w:color w:val="auto"/>
          <w:szCs w:val="21"/>
        </w:rPr>
      </w:pPr>
      <w:r>
        <w:rPr>
          <w:rFonts w:hint="eastAsia" w:ascii="宋体" w:hAnsi="宋体"/>
          <w:color w:val="auto"/>
          <w:szCs w:val="21"/>
        </w:rPr>
        <w:t>企业生产规模按照国家统计局《统计上大中小微型企业划分办法》划分</w:t>
      </w:r>
      <w:r>
        <w:rPr>
          <w:rFonts w:hint="eastAsia" w:ascii="宋体" w:hAnsi="宋体" w:cs="宋体"/>
          <w:color w:val="auto"/>
          <w:szCs w:val="21"/>
        </w:rPr>
        <w:t>，具体见表2.</w:t>
      </w:r>
    </w:p>
    <w:p>
      <w:pPr>
        <w:spacing w:line="400" w:lineRule="exact"/>
        <w:jc w:val="center"/>
        <w:rPr>
          <w:rFonts w:ascii="宋体" w:hAnsi="宋体" w:cs="宋体"/>
          <w:color w:val="auto"/>
          <w:szCs w:val="21"/>
        </w:rPr>
      </w:pPr>
      <w:r>
        <w:rPr>
          <w:rFonts w:hint="eastAsia" w:ascii="宋体" w:hAnsi="宋体" w:cs="宋体"/>
          <w:color w:val="auto"/>
          <w:szCs w:val="21"/>
        </w:rPr>
        <w:t>表2移动电源企业产品生产规模划分</w:t>
      </w:r>
    </w:p>
    <w:tbl>
      <w:tblPr>
        <w:tblStyle w:val="15"/>
        <w:tblW w:w="9242" w:type="dxa"/>
        <w:jc w:val="center"/>
        <w:tblInd w:w="0" w:type="dxa"/>
        <w:tblLayout w:type="fixed"/>
        <w:tblCellMar>
          <w:top w:w="0" w:type="dxa"/>
          <w:left w:w="108" w:type="dxa"/>
          <w:bottom w:w="0" w:type="dxa"/>
          <w:right w:w="108" w:type="dxa"/>
        </w:tblCellMar>
      </w:tblPr>
      <w:tblGrid>
        <w:gridCol w:w="1202"/>
        <w:gridCol w:w="1730"/>
        <w:gridCol w:w="739"/>
        <w:gridCol w:w="1187"/>
        <w:gridCol w:w="1780"/>
        <w:gridCol w:w="1632"/>
        <w:gridCol w:w="972"/>
      </w:tblGrid>
      <w:tr>
        <w:tblPrEx>
          <w:tblLayout w:type="fixed"/>
          <w:tblCellMar>
            <w:top w:w="0" w:type="dxa"/>
            <w:left w:w="108" w:type="dxa"/>
            <w:bottom w:w="0" w:type="dxa"/>
            <w:right w:w="108" w:type="dxa"/>
          </w:tblCellMar>
        </w:tblPrEx>
        <w:trPr>
          <w:trHeight w:val="622" w:hRule="exact"/>
          <w:jc w:val="center"/>
        </w:trPr>
        <w:tc>
          <w:tcPr>
            <w:tcW w:w="1202"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auto"/>
                <w:szCs w:val="21"/>
              </w:rPr>
            </w:pPr>
            <w:r>
              <w:rPr>
                <w:rFonts w:hint="eastAsia" w:ascii="宋体" w:hAnsi="宋体"/>
                <w:color w:val="auto"/>
                <w:szCs w:val="21"/>
              </w:rPr>
              <w:t>行业名称</w:t>
            </w:r>
          </w:p>
        </w:tc>
        <w:tc>
          <w:tcPr>
            <w:tcW w:w="173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auto"/>
                <w:szCs w:val="21"/>
              </w:rPr>
            </w:pPr>
            <w:r>
              <w:rPr>
                <w:rFonts w:hint="eastAsia" w:ascii="宋体" w:hAnsi="宋体"/>
                <w:color w:val="auto"/>
                <w:szCs w:val="21"/>
              </w:rPr>
              <w:t>指标名称</w:t>
            </w:r>
          </w:p>
        </w:tc>
        <w:tc>
          <w:tcPr>
            <w:tcW w:w="73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auto"/>
                <w:szCs w:val="21"/>
              </w:rPr>
            </w:pPr>
            <w:r>
              <w:rPr>
                <w:rFonts w:hint="eastAsia" w:ascii="宋体" w:hAnsi="宋体"/>
                <w:color w:val="auto"/>
                <w:szCs w:val="21"/>
              </w:rPr>
              <w:t>计量</w:t>
            </w:r>
          </w:p>
        </w:tc>
        <w:tc>
          <w:tcPr>
            <w:tcW w:w="1187"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auto"/>
                <w:szCs w:val="21"/>
              </w:rPr>
            </w:pPr>
            <w:r>
              <w:rPr>
                <w:rFonts w:hint="eastAsia" w:ascii="宋体" w:hAnsi="宋体"/>
                <w:color w:val="auto"/>
                <w:szCs w:val="21"/>
              </w:rPr>
              <w:t>大型</w:t>
            </w:r>
          </w:p>
        </w:tc>
        <w:tc>
          <w:tcPr>
            <w:tcW w:w="178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auto"/>
                <w:szCs w:val="21"/>
              </w:rPr>
            </w:pPr>
            <w:r>
              <w:rPr>
                <w:rFonts w:hint="eastAsia" w:ascii="宋体" w:hAnsi="宋体"/>
                <w:color w:val="auto"/>
                <w:szCs w:val="21"/>
              </w:rPr>
              <w:t>中型</w:t>
            </w:r>
          </w:p>
        </w:tc>
        <w:tc>
          <w:tcPr>
            <w:tcW w:w="1632"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auto"/>
                <w:szCs w:val="21"/>
              </w:rPr>
            </w:pPr>
            <w:r>
              <w:rPr>
                <w:rFonts w:hint="eastAsia" w:ascii="宋体" w:hAnsi="宋体"/>
                <w:color w:val="auto"/>
                <w:szCs w:val="21"/>
              </w:rPr>
              <w:t>小型</w:t>
            </w:r>
          </w:p>
        </w:tc>
        <w:tc>
          <w:tcPr>
            <w:tcW w:w="972"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auto"/>
                <w:szCs w:val="21"/>
              </w:rPr>
            </w:pPr>
            <w:r>
              <w:rPr>
                <w:rFonts w:hint="eastAsia" w:ascii="宋体" w:hAnsi="宋体"/>
                <w:color w:val="auto"/>
                <w:szCs w:val="21"/>
              </w:rPr>
              <w:t>微型</w:t>
            </w:r>
          </w:p>
        </w:tc>
      </w:tr>
      <w:tr>
        <w:tblPrEx>
          <w:tblLayout w:type="fixed"/>
          <w:tblCellMar>
            <w:top w:w="0" w:type="dxa"/>
            <w:left w:w="108" w:type="dxa"/>
            <w:bottom w:w="0" w:type="dxa"/>
            <w:right w:w="108" w:type="dxa"/>
          </w:tblCellMar>
        </w:tblPrEx>
        <w:trPr>
          <w:trHeight w:val="558" w:hRule="exact"/>
          <w:jc w:val="center"/>
        </w:trPr>
        <w:tc>
          <w:tcPr>
            <w:tcW w:w="1202"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auto"/>
                <w:szCs w:val="21"/>
              </w:rPr>
            </w:pPr>
            <w:r>
              <w:rPr>
                <w:rFonts w:hint="eastAsia" w:ascii="宋体" w:hAnsi="宋体"/>
                <w:color w:val="auto"/>
                <w:szCs w:val="21"/>
              </w:rPr>
              <w:t>工业</w:t>
            </w:r>
          </w:p>
        </w:tc>
        <w:tc>
          <w:tcPr>
            <w:tcW w:w="173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auto"/>
                <w:szCs w:val="21"/>
              </w:rPr>
            </w:pPr>
            <w:r>
              <w:rPr>
                <w:rFonts w:hint="eastAsia" w:ascii="宋体" w:hAnsi="宋体"/>
                <w:color w:val="auto"/>
                <w:szCs w:val="21"/>
              </w:rPr>
              <w:t>从业人员(X)</w:t>
            </w:r>
          </w:p>
        </w:tc>
        <w:tc>
          <w:tcPr>
            <w:tcW w:w="73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auto"/>
                <w:szCs w:val="21"/>
              </w:rPr>
            </w:pPr>
            <w:r>
              <w:rPr>
                <w:rFonts w:hint="eastAsia" w:ascii="宋体" w:hAnsi="宋体"/>
                <w:color w:val="auto"/>
                <w:szCs w:val="21"/>
              </w:rPr>
              <w:t>人</w:t>
            </w:r>
          </w:p>
        </w:tc>
        <w:tc>
          <w:tcPr>
            <w:tcW w:w="1187"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auto"/>
                <w:szCs w:val="21"/>
              </w:rPr>
            </w:pPr>
            <w:r>
              <w:rPr>
                <w:rFonts w:hint="eastAsia" w:ascii="宋体" w:hAnsi="宋体"/>
                <w:color w:val="auto"/>
                <w:szCs w:val="21"/>
              </w:rPr>
              <w:t>X≥1000</w:t>
            </w:r>
          </w:p>
        </w:tc>
        <w:tc>
          <w:tcPr>
            <w:tcW w:w="178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auto"/>
                <w:szCs w:val="21"/>
              </w:rPr>
            </w:pPr>
            <w:r>
              <w:rPr>
                <w:rFonts w:hint="eastAsia" w:ascii="宋体" w:hAnsi="宋体"/>
                <w:color w:val="auto"/>
                <w:szCs w:val="21"/>
              </w:rPr>
              <w:t>300≤X＜1000</w:t>
            </w:r>
          </w:p>
        </w:tc>
        <w:tc>
          <w:tcPr>
            <w:tcW w:w="1632"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auto"/>
                <w:szCs w:val="21"/>
              </w:rPr>
            </w:pPr>
            <w:r>
              <w:rPr>
                <w:rFonts w:hint="eastAsia" w:ascii="宋体" w:hAnsi="宋体"/>
                <w:color w:val="auto"/>
                <w:szCs w:val="21"/>
              </w:rPr>
              <w:t>20≤X＜300</w:t>
            </w:r>
          </w:p>
        </w:tc>
        <w:tc>
          <w:tcPr>
            <w:tcW w:w="972"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auto"/>
                <w:szCs w:val="21"/>
              </w:rPr>
            </w:pPr>
            <w:r>
              <w:rPr>
                <w:rFonts w:hint="eastAsia" w:ascii="宋体" w:hAnsi="宋体"/>
                <w:color w:val="auto"/>
                <w:szCs w:val="21"/>
              </w:rPr>
              <w:t>X＜20</w:t>
            </w:r>
          </w:p>
        </w:tc>
      </w:tr>
      <w:tr>
        <w:tblPrEx>
          <w:tblLayout w:type="fixed"/>
          <w:tblCellMar>
            <w:top w:w="0" w:type="dxa"/>
            <w:left w:w="108" w:type="dxa"/>
            <w:bottom w:w="0" w:type="dxa"/>
            <w:right w:w="108" w:type="dxa"/>
          </w:tblCellMar>
        </w:tblPrEx>
        <w:trPr>
          <w:trHeight w:val="566" w:hRule="exact"/>
          <w:jc w:val="center"/>
        </w:trPr>
        <w:tc>
          <w:tcPr>
            <w:tcW w:w="1202"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auto"/>
                <w:szCs w:val="21"/>
              </w:rPr>
            </w:pPr>
          </w:p>
        </w:tc>
        <w:tc>
          <w:tcPr>
            <w:tcW w:w="173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auto"/>
                <w:szCs w:val="21"/>
              </w:rPr>
            </w:pPr>
            <w:r>
              <w:rPr>
                <w:rFonts w:hint="eastAsia" w:ascii="宋体" w:hAnsi="宋体"/>
                <w:color w:val="auto"/>
                <w:szCs w:val="21"/>
              </w:rPr>
              <w:t>营业收入(Y)</w:t>
            </w:r>
          </w:p>
        </w:tc>
        <w:tc>
          <w:tcPr>
            <w:tcW w:w="73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auto"/>
                <w:szCs w:val="21"/>
              </w:rPr>
            </w:pPr>
            <w:r>
              <w:rPr>
                <w:rFonts w:hint="eastAsia" w:ascii="宋体" w:hAnsi="宋体"/>
                <w:color w:val="auto"/>
                <w:szCs w:val="21"/>
              </w:rPr>
              <w:t>万元</w:t>
            </w:r>
          </w:p>
        </w:tc>
        <w:tc>
          <w:tcPr>
            <w:tcW w:w="1187"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auto"/>
                <w:szCs w:val="21"/>
              </w:rPr>
            </w:pPr>
            <w:r>
              <w:rPr>
                <w:rFonts w:hint="eastAsia" w:ascii="宋体" w:hAnsi="宋体"/>
                <w:color w:val="auto"/>
                <w:szCs w:val="21"/>
              </w:rPr>
              <w:t>Y≥40000</w:t>
            </w:r>
          </w:p>
        </w:tc>
        <w:tc>
          <w:tcPr>
            <w:tcW w:w="178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auto"/>
                <w:szCs w:val="21"/>
              </w:rPr>
            </w:pPr>
            <w:r>
              <w:rPr>
                <w:rFonts w:hint="eastAsia" w:ascii="宋体" w:hAnsi="宋体"/>
                <w:color w:val="auto"/>
                <w:szCs w:val="21"/>
              </w:rPr>
              <w:t>2000≤Y＜40000</w:t>
            </w:r>
          </w:p>
        </w:tc>
        <w:tc>
          <w:tcPr>
            <w:tcW w:w="1632"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auto"/>
                <w:szCs w:val="21"/>
              </w:rPr>
            </w:pPr>
            <w:r>
              <w:rPr>
                <w:rFonts w:hint="eastAsia" w:ascii="宋体" w:hAnsi="宋体"/>
                <w:color w:val="auto"/>
                <w:szCs w:val="21"/>
              </w:rPr>
              <w:t>300≤Y＜2000</w:t>
            </w:r>
          </w:p>
        </w:tc>
        <w:tc>
          <w:tcPr>
            <w:tcW w:w="972"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auto"/>
                <w:szCs w:val="21"/>
              </w:rPr>
            </w:pPr>
            <w:r>
              <w:rPr>
                <w:rFonts w:hint="eastAsia" w:ascii="宋体" w:hAnsi="宋体"/>
                <w:color w:val="auto"/>
                <w:szCs w:val="21"/>
              </w:rPr>
              <w:t>Y＜300</w:t>
            </w:r>
          </w:p>
        </w:tc>
      </w:tr>
    </w:tbl>
    <w:p>
      <w:pPr>
        <w:spacing w:before="156" w:beforeLines="50" w:line="400" w:lineRule="exact"/>
        <w:rPr>
          <w:rFonts w:ascii="黑体" w:hAnsi="黑体" w:eastAsia="黑体" w:cs="宋体"/>
          <w:b/>
          <w:bCs/>
          <w:color w:val="auto"/>
          <w:szCs w:val="21"/>
        </w:rPr>
      </w:pPr>
      <w:r>
        <w:rPr>
          <w:rFonts w:hint="eastAsia" w:ascii="黑体" w:hAnsi="黑体" w:eastAsia="黑体" w:cs="宋体"/>
          <w:b/>
          <w:bCs/>
          <w:color w:val="auto"/>
          <w:szCs w:val="21"/>
        </w:rPr>
        <w:t>5  检验依据</w:t>
      </w:r>
    </w:p>
    <w:p>
      <w:pPr>
        <w:snapToGrid w:val="0"/>
        <w:spacing w:line="440" w:lineRule="exact"/>
        <w:ind w:firstLine="359" w:firstLineChars="171"/>
        <w:rPr>
          <w:rFonts w:ascii="宋体" w:hAnsi="宋体"/>
          <w:color w:val="auto"/>
          <w:szCs w:val="21"/>
        </w:rPr>
      </w:pPr>
      <w:r>
        <w:rPr>
          <w:rFonts w:hint="eastAsia" w:ascii="宋体" w:hAnsi="宋体"/>
          <w:color w:val="auto"/>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color w:val="auto"/>
          <w:szCs w:val="21"/>
        </w:rPr>
      </w:pPr>
      <w:r>
        <w:rPr>
          <w:rFonts w:hint="eastAsia"/>
          <w:color w:val="auto"/>
          <w:szCs w:val="21"/>
        </w:rPr>
        <w:t>GB 31241-2014便携式电子产品用锂离子电池和电池组安全要求</w:t>
      </w:r>
    </w:p>
    <w:p>
      <w:pPr>
        <w:snapToGrid w:val="0"/>
        <w:spacing w:line="440" w:lineRule="exact"/>
        <w:ind w:firstLine="359" w:firstLineChars="171"/>
        <w:rPr>
          <w:color w:val="auto"/>
          <w:szCs w:val="21"/>
        </w:rPr>
      </w:pPr>
      <w:r>
        <w:rPr>
          <w:color w:val="auto"/>
          <w:szCs w:val="21"/>
        </w:rPr>
        <w:t>GB/T 35590</w:t>
      </w:r>
      <w:r>
        <w:rPr>
          <w:rFonts w:hint="eastAsia"/>
          <w:color w:val="auto"/>
          <w:szCs w:val="21"/>
        </w:rPr>
        <w:t>-2017信息技术便携式数字设备用移动电源通用细则</w:t>
      </w:r>
    </w:p>
    <w:p>
      <w:pPr>
        <w:snapToGrid w:val="0"/>
        <w:spacing w:line="440" w:lineRule="exact"/>
        <w:ind w:firstLine="359" w:firstLineChars="171"/>
        <w:rPr>
          <w:rFonts w:ascii="宋体" w:hAnsi="宋体"/>
          <w:color w:val="auto"/>
          <w:szCs w:val="21"/>
        </w:rPr>
      </w:pPr>
      <w:r>
        <w:rPr>
          <w:rFonts w:hint="eastAsia" w:ascii="宋体" w:hAnsi="宋体"/>
          <w:color w:val="auto"/>
          <w:szCs w:val="21"/>
        </w:rPr>
        <w:t>相关的法律法规、部门规章和细则</w:t>
      </w:r>
    </w:p>
    <w:p>
      <w:pPr>
        <w:spacing w:line="400" w:lineRule="exact"/>
        <w:ind w:firstLine="420" w:firstLineChars="200"/>
        <w:rPr>
          <w:rFonts w:ascii="宋体" w:hAnsi="宋体"/>
          <w:color w:val="auto"/>
          <w:szCs w:val="21"/>
        </w:rPr>
      </w:pPr>
      <w:r>
        <w:rPr>
          <w:rFonts w:hint="eastAsia" w:ascii="宋体" w:hAnsi="宋体"/>
          <w:color w:val="auto"/>
          <w:szCs w:val="21"/>
        </w:rPr>
        <w:t>现行有效的企业标准及产品明示质量要求。</w:t>
      </w:r>
    </w:p>
    <w:p>
      <w:pPr>
        <w:spacing w:before="156" w:beforeLines="50" w:line="400" w:lineRule="exact"/>
        <w:rPr>
          <w:rFonts w:ascii="黑体" w:hAnsi="黑体" w:eastAsia="黑体" w:cs="宋体"/>
          <w:b/>
          <w:bCs/>
          <w:color w:val="auto"/>
          <w:szCs w:val="21"/>
        </w:rPr>
      </w:pPr>
      <w:r>
        <w:rPr>
          <w:rFonts w:hint="eastAsia" w:ascii="黑体" w:hAnsi="黑体" w:eastAsia="黑体" w:cs="宋体"/>
          <w:b/>
          <w:bCs/>
          <w:color w:val="auto"/>
          <w:szCs w:val="21"/>
        </w:rPr>
        <w:t>6  抽样</w:t>
      </w:r>
    </w:p>
    <w:p>
      <w:pPr>
        <w:spacing w:line="400" w:lineRule="exact"/>
        <w:rPr>
          <w:rFonts w:ascii="宋体" w:hAnsi="宋体" w:cs="宋体"/>
          <w:color w:val="auto"/>
          <w:szCs w:val="21"/>
        </w:rPr>
      </w:pPr>
      <w:r>
        <w:rPr>
          <w:rFonts w:hint="eastAsia" w:ascii="宋体" w:hAnsi="宋体" w:cs="宋体"/>
          <w:color w:val="auto"/>
          <w:szCs w:val="21"/>
        </w:rPr>
        <w:t>6.1现场抽样</w:t>
      </w:r>
    </w:p>
    <w:p>
      <w:pPr>
        <w:spacing w:line="400" w:lineRule="exact"/>
        <w:rPr>
          <w:rFonts w:ascii="宋体" w:hAnsi="宋体" w:cs="宋体"/>
          <w:color w:val="auto"/>
          <w:szCs w:val="21"/>
        </w:rPr>
      </w:pPr>
      <w:r>
        <w:rPr>
          <w:rFonts w:hint="eastAsia" w:ascii="宋体" w:hAnsi="宋体" w:cs="宋体"/>
          <w:color w:val="auto"/>
          <w:szCs w:val="21"/>
        </w:rPr>
        <w:t>6.1.1抽样型号或规格</w:t>
      </w:r>
    </w:p>
    <w:p>
      <w:pPr>
        <w:snapToGrid w:val="0"/>
        <w:spacing w:line="440" w:lineRule="exact"/>
        <w:ind w:firstLine="420" w:firstLineChars="200"/>
        <w:rPr>
          <w:rFonts w:ascii="宋体" w:hAnsi="宋体"/>
          <w:color w:val="auto"/>
          <w:szCs w:val="21"/>
        </w:rPr>
      </w:pPr>
      <w:r>
        <w:rPr>
          <w:rFonts w:hint="eastAsia" w:ascii="宋体" w:hAnsi="宋体"/>
          <w:color w:val="auto"/>
          <w:szCs w:val="21"/>
        </w:rPr>
        <w:t>抽取样品应为同一产品种类、同一规格型号。</w:t>
      </w:r>
    </w:p>
    <w:p>
      <w:pPr>
        <w:spacing w:line="400" w:lineRule="exact"/>
        <w:ind w:firstLine="420" w:firstLineChars="200"/>
        <w:rPr>
          <w:rFonts w:ascii="宋体" w:hAnsi="宋体" w:cs="宋体"/>
          <w:color w:val="auto"/>
          <w:szCs w:val="21"/>
        </w:rPr>
      </w:pPr>
      <w:r>
        <w:rPr>
          <w:rFonts w:hint="eastAsia" w:ascii="宋体" w:hAnsi="宋体"/>
          <w:color w:val="auto"/>
          <w:szCs w:val="21"/>
        </w:rPr>
        <w:t>随机数一般可使用随机数表、骰子或扑克牌等方法产生。</w:t>
      </w:r>
    </w:p>
    <w:p>
      <w:pPr>
        <w:spacing w:line="400" w:lineRule="exact"/>
        <w:rPr>
          <w:rFonts w:ascii="宋体" w:hAnsi="宋体" w:cs="宋体"/>
          <w:color w:val="auto"/>
          <w:szCs w:val="21"/>
        </w:rPr>
      </w:pPr>
      <w:r>
        <w:rPr>
          <w:rFonts w:hint="eastAsia" w:ascii="宋体" w:hAnsi="宋体" w:cs="宋体"/>
          <w:color w:val="auto"/>
          <w:szCs w:val="21"/>
        </w:rPr>
        <w:t>6.1.2抽样方法、基数、数量及注意事项</w:t>
      </w:r>
    </w:p>
    <w:p>
      <w:pPr>
        <w:spacing w:line="400" w:lineRule="exact"/>
        <w:rPr>
          <w:rFonts w:ascii="宋体" w:hAnsi="宋体" w:cs="宋体"/>
          <w:color w:val="auto"/>
          <w:szCs w:val="21"/>
        </w:rPr>
      </w:pPr>
      <w:r>
        <w:rPr>
          <w:rFonts w:hint="eastAsia" w:ascii="宋体" w:hAnsi="宋体" w:cs="宋体"/>
          <w:color w:val="auto"/>
          <w:szCs w:val="21"/>
        </w:rPr>
        <w:t>6.1.2.1抽样方法</w:t>
      </w:r>
    </w:p>
    <w:p>
      <w:pPr>
        <w:spacing w:line="400" w:lineRule="exact"/>
        <w:ind w:firstLine="420" w:firstLineChars="200"/>
        <w:rPr>
          <w:rFonts w:ascii="宋体" w:hAnsi="宋体" w:cs="宋体"/>
          <w:color w:val="auto"/>
          <w:szCs w:val="21"/>
        </w:rPr>
      </w:pPr>
      <w:r>
        <w:rPr>
          <w:rFonts w:hint="eastAsia" w:ascii="宋体" w:hAnsi="宋体" w:cs="宋体"/>
          <w:color w:val="auto"/>
          <w:szCs w:val="21"/>
        </w:rPr>
        <w:t>在受检企业</w:t>
      </w:r>
      <w:r>
        <w:rPr>
          <w:rFonts w:hint="eastAsia" w:ascii="宋体" w:hAnsi="宋体" w:cs="Sim Sun"/>
          <w:color w:val="auto"/>
          <w:kern w:val="0"/>
          <w:szCs w:val="21"/>
        </w:rPr>
        <w:t>成品库内或成品堆放区</w:t>
      </w:r>
      <w:r>
        <w:rPr>
          <w:rFonts w:hint="eastAsia" w:ascii="宋体" w:hAnsi="宋体" w:cs="宋体"/>
          <w:color w:val="auto"/>
          <w:szCs w:val="21"/>
        </w:rPr>
        <w:t>随机抽取有产品质量检验合格证明或者以其他形式表明合格的、近期生产的产品（特殊情况除外）。</w:t>
      </w:r>
    </w:p>
    <w:p>
      <w:pPr>
        <w:spacing w:line="360" w:lineRule="auto"/>
        <w:ind w:firstLine="420" w:firstLineChars="200"/>
        <w:rPr>
          <w:rFonts w:ascii="宋体" w:hAnsi="宋体" w:cs="Sim Sun"/>
          <w:color w:val="auto"/>
          <w:kern w:val="0"/>
          <w:szCs w:val="21"/>
        </w:rPr>
      </w:pPr>
      <w:r>
        <w:rPr>
          <w:rFonts w:hint="eastAsia" w:ascii="宋体" w:hAnsi="宋体" w:cs="Sim Sun"/>
          <w:color w:val="auto"/>
          <w:kern w:val="0"/>
          <w:szCs w:val="21"/>
        </w:rPr>
        <w:t>在市场待销产品中随机抽取有产品质量检验合格证明或者以其他形式表明合格的、近期生产的产品（特殊情况除外）。</w:t>
      </w:r>
    </w:p>
    <w:p>
      <w:pPr>
        <w:spacing w:line="400" w:lineRule="exact"/>
        <w:ind w:firstLine="420" w:firstLineChars="200"/>
        <w:rPr>
          <w:rFonts w:ascii="宋体" w:hAnsi="宋体" w:cs="宋体"/>
          <w:color w:val="auto"/>
          <w:szCs w:val="21"/>
        </w:rPr>
      </w:pPr>
      <w:r>
        <w:rPr>
          <w:rFonts w:hint="eastAsia" w:ascii="宋体" w:hAnsi="宋体" w:cs="宋体"/>
          <w:color w:val="auto"/>
          <w:szCs w:val="21"/>
        </w:rPr>
        <w:t>如存在多个规格型号满足抽样条件的，应采取随机数法确定拟抽取的规格型号。方法采用</w:t>
      </w:r>
      <w:r>
        <w:rPr>
          <w:rFonts w:ascii="宋体" w:hAnsi="宋体" w:cs="宋体"/>
          <w:color w:val="auto"/>
          <w:szCs w:val="21"/>
        </w:rPr>
        <w:t>GB/T 10111</w:t>
      </w:r>
      <w:r>
        <w:rPr>
          <w:rFonts w:hint="eastAsia" w:ascii="宋体" w:hAnsi="宋体" w:cs="宋体"/>
          <w:color w:val="auto"/>
          <w:szCs w:val="21"/>
        </w:rPr>
        <w:t>《随机数的产生及其在产品质量抽样检验中的应用程序》中的随机数、骰子或扑克牌方法。</w:t>
      </w:r>
    </w:p>
    <w:p>
      <w:pPr>
        <w:spacing w:line="400" w:lineRule="exact"/>
        <w:rPr>
          <w:rFonts w:ascii="宋体" w:hAnsi="宋体" w:cs="宋体"/>
          <w:color w:val="auto"/>
          <w:szCs w:val="21"/>
        </w:rPr>
      </w:pPr>
      <w:r>
        <w:rPr>
          <w:rFonts w:hint="eastAsia" w:ascii="宋体" w:hAnsi="宋体" w:cs="宋体"/>
          <w:color w:val="auto"/>
          <w:szCs w:val="21"/>
        </w:rPr>
        <w:t>6.1.2.2抽样基数</w:t>
      </w:r>
    </w:p>
    <w:p>
      <w:pPr>
        <w:spacing w:line="400" w:lineRule="exact"/>
        <w:ind w:firstLine="420" w:firstLineChars="200"/>
        <w:rPr>
          <w:rFonts w:ascii="宋体" w:hAnsi="宋体" w:cs="宋体"/>
          <w:color w:val="auto"/>
          <w:szCs w:val="21"/>
        </w:rPr>
      </w:pPr>
      <w:r>
        <w:rPr>
          <w:rFonts w:hint="eastAsia" w:ascii="宋体" w:hAnsi="宋体" w:cs="宋体"/>
          <w:color w:val="auto"/>
          <w:szCs w:val="21"/>
        </w:rPr>
        <w:t>抽样基数满足抽样数量即可。</w:t>
      </w:r>
    </w:p>
    <w:p>
      <w:pPr>
        <w:spacing w:line="400" w:lineRule="exact"/>
        <w:rPr>
          <w:rFonts w:ascii="宋体" w:hAnsi="宋体" w:cs="宋体"/>
          <w:color w:val="auto"/>
          <w:szCs w:val="21"/>
        </w:rPr>
      </w:pPr>
      <w:r>
        <w:rPr>
          <w:rFonts w:hint="eastAsia" w:ascii="宋体" w:hAnsi="宋体" w:cs="宋体"/>
          <w:color w:val="auto"/>
          <w:szCs w:val="21"/>
        </w:rPr>
        <w:t>6.1.2.3抽样数量</w:t>
      </w:r>
    </w:p>
    <w:p>
      <w:pPr>
        <w:spacing w:line="400" w:lineRule="exact"/>
        <w:ind w:firstLine="420" w:firstLineChars="200"/>
        <w:rPr>
          <w:rFonts w:ascii="宋体" w:hAnsi="宋体" w:cs="宋体"/>
          <w:color w:val="auto"/>
          <w:szCs w:val="21"/>
        </w:rPr>
      </w:pPr>
      <w:r>
        <w:rPr>
          <w:rFonts w:hint="eastAsia" w:ascii="宋体" w:hAnsi="宋体" w:cs="宋体"/>
          <w:color w:val="auto"/>
          <w:szCs w:val="21"/>
        </w:rPr>
        <w:t>根据本细则规定的检验要求，抽查的样品数量见表3。</w:t>
      </w:r>
    </w:p>
    <w:p>
      <w:pPr>
        <w:spacing w:line="400" w:lineRule="exact"/>
        <w:jc w:val="center"/>
        <w:rPr>
          <w:rFonts w:ascii="宋体" w:hAnsi="宋体" w:cs="宋体"/>
          <w:color w:val="auto"/>
          <w:szCs w:val="21"/>
        </w:rPr>
      </w:pPr>
      <w:r>
        <w:rPr>
          <w:rFonts w:hint="eastAsia" w:ascii="宋体" w:hAnsi="宋体" w:cs="宋体"/>
          <w:color w:val="auto"/>
          <w:szCs w:val="21"/>
        </w:rPr>
        <w:t>表3抽样数量</w:t>
      </w:r>
    </w:p>
    <w:tbl>
      <w:tblPr>
        <w:tblStyle w:val="15"/>
        <w:tblW w:w="88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9"/>
        <w:gridCol w:w="1700"/>
        <w:gridCol w:w="1842"/>
        <w:gridCol w:w="3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759" w:type="dxa"/>
            <w:vAlign w:val="center"/>
          </w:tcPr>
          <w:p>
            <w:pPr>
              <w:jc w:val="center"/>
              <w:rPr>
                <w:rFonts w:ascii="宋体" w:hAnsi="宋体"/>
                <w:color w:val="auto"/>
                <w:szCs w:val="21"/>
              </w:rPr>
            </w:pPr>
            <w:r>
              <w:rPr>
                <w:rFonts w:hint="eastAsia" w:ascii="宋体" w:hAnsi="宋体"/>
                <w:color w:val="auto"/>
                <w:szCs w:val="21"/>
              </w:rPr>
              <w:t>标注执行标准</w:t>
            </w:r>
          </w:p>
        </w:tc>
        <w:tc>
          <w:tcPr>
            <w:tcW w:w="3542" w:type="dxa"/>
            <w:gridSpan w:val="2"/>
            <w:vAlign w:val="center"/>
          </w:tcPr>
          <w:p>
            <w:pPr>
              <w:jc w:val="center"/>
              <w:rPr>
                <w:rFonts w:ascii="宋体" w:hAnsi="宋体"/>
                <w:color w:val="auto"/>
                <w:szCs w:val="21"/>
              </w:rPr>
            </w:pPr>
            <w:r>
              <w:rPr>
                <w:rFonts w:hint="eastAsia" w:ascii="宋体" w:hAnsi="宋体"/>
                <w:color w:val="auto"/>
                <w:szCs w:val="21"/>
              </w:rPr>
              <w:t>产品种类</w:t>
            </w:r>
          </w:p>
        </w:tc>
        <w:tc>
          <w:tcPr>
            <w:tcW w:w="3555" w:type="dxa"/>
            <w:vAlign w:val="center"/>
          </w:tcPr>
          <w:p>
            <w:pPr>
              <w:jc w:val="center"/>
              <w:rPr>
                <w:rFonts w:ascii="宋体" w:hAnsi="宋体"/>
                <w:color w:val="auto"/>
                <w:szCs w:val="21"/>
              </w:rPr>
            </w:pPr>
            <w:r>
              <w:rPr>
                <w:rFonts w:hint="eastAsia" w:ascii="宋体" w:hAnsi="宋体"/>
                <w:color w:val="auto"/>
                <w:szCs w:val="21"/>
              </w:rPr>
              <w:t>抽样数量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759" w:type="dxa"/>
            <w:vMerge w:val="restart"/>
            <w:vAlign w:val="center"/>
          </w:tcPr>
          <w:p>
            <w:pPr>
              <w:jc w:val="center"/>
              <w:rPr>
                <w:rFonts w:ascii="宋体" w:hAnsi="宋体"/>
                <w:color w:val="auto"/>
                <w:szCs w:val="21"/>
              </w:rPr>
            </w:pPr>
            <w:r>
              <w:rPr>
                <w:rFonts w:hint="eastAsia" w:ascii="宋体" w:hAnsi="宋体"/>
                <w:color w:val="auto"/>
                <w:szCs w:val="21"/>
              </w:rPr>
              <w:t>有GB/T 35590标准的移动电源</w:t>
            </w:r>
          </w:p>
        </w:tc>
        <w:tc>
          <w:tcPr>
            <w:tcW w:w="1700" w:type="dxa"/>
            <w:vMerge w:val="restart"/>
            <w:vAlign w:val="center"/>
          </w:tcPr>
          <w:p>
            <w:pPr>
              <w:jc w:val="center"/>
              <w:rPr>
                <w:rFonts w:ascii="宋体" w:hAnsi="宋体"/>
                <w:color w:val="auto"/>
                <w:szCs w:val="21"/>
              </w:rPr>
            </w:pPr>
            <w:r>
              <w:rPr>
                <w:rFonts w:hint="eastAsia" w:ascii="宋体" w:hAnsi="宋体"/>
                <w:color w:val="auto"/>
                <w:szCs w:val="21"/>
              </w:rPr>
              <w:t>电芯数≥2</w:t>
            </w:r>
          </w:p>
        </w:tc>
        <w:tc>
          <w:tcPr>
            <w:tcW w:w="1842" w:type="dxa"/>
            <w:vAlign w:val="center"/>
          </w:tcPr>
          <w:p>
            <w:pPr>
              <w:jc w:val="center"/>
              <w:rPr>
                <w:rFonts w:ascii="宋体" w:hAnsi="宋体"/>
                <w:color w:val="auto"/>
                <w:szCs w:val="21"/>
              </w:rPr>
            </w:pPr>
            <w:r>
              <w:rPr>
                <w:rFonts w:hint="eastAsia" w:ascii="宋体" w:hAnsi="宋体"/>
                <w:color w:val="auto"/>
                <w:szCs w:val="21"/>
              </w:rPr>
              <w:t>非软包电芯</w:t>
            </w:r>
          </w:p>
        </w:tc>
        <w:tc>
          <w:tcPr>
            <w:tcW w:w="3555" w:type="dxa"/>
            <w:vAlign w:val="center"/>
          </w:tcPr>
          <w:p>
            <w:pPr>
              <w:spacing w:line="320" w:lineRule="exact"/>
              <w:jc w:val="center"/>
              <w:rPr>
                <w:rFonts w:ascii="宋体" w:hAnsi="宋体"/>
                <w:color w:val="auto"/>
                <w:szCs w:val="21"/>
              </w:rPr>
            </w:pPr>
            <w:r>
              <w:rPr>
                <w:rFonts w:hint="eastAsia" w:ascii="宋体" w:hAnsi="宋体"/>
                <w:color w:val="auto"/>
                <w:szCs w:val="21"/>
              </w:rPr>
              <w:t>13台（检样：9台，备样4台）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759" w:type="dxa"/>
            <w:vMerge w:val="continue"/>
            <w:vAlign w:val="center"/>
          </w:tcPr>
          <w:p>
            <w:pPr>
              <w:jc w:val="center"/>
              <w:rPr>
                <w:rFonts w:ascii="宋体" w:hAnsi="宋体"/>
                <w:color w:val="auto"/>
                <w:szCs w:val="21"/>
              </w:rPr>
            </w:pPr>
          </w:p>
        </w:tc>
        <w:tc>
          <w:tcPr>
            <w:tcW w:w="1700" w:type="dxa"/>
            <w:vMerge w:val="continue"/>
            <w:vAlign w:val="center"/>
          </w:tcPr>
          <w:p>
            <w:pPr>
              <w:jc w:val="center"/>
              <w:rPr>
                <w:rFonts w:ascii="宋体" w:hAnsi="宋体"/>
                <w:color w:val="auto"/>
                <w:szCs w:val="21"/>
              </w:rPr>
            </w:pPr>
          </w:p>
        </w:tc>
        <w:tc>
          <w:tcPr>
            <w:tcW w:w="1842" w:type="dxa"/>
            <w:vAlign w:val="center"/>
          </w:tcPr>
          <w:p>
            <w:pPr>
              <w:jc w:val="center"/>
              <w:rPr>
                <w:rFonts w:ascii="宋体" w:hAnsi="宋体"/>
                <w:color w:val="auto"/>
                <w:szCs w:val="21"/>
              </w:rPr>
            </w:pPr>
            <w:r>
              <w:rPr>
                <w:rFonts w:hint="eastAsia" w:ascii="宋体" w:hAnsi="宋体"/>
                <w:color w:val="auto"/>
                <w:szCs w:val="21"/>
              </w:rPr>
              <w:t>软包电芯</w:t>
            </w:r>
          </w:p>
        </w:tc>
        <w:tc>
          <w:tcPr>
            <w:tcW w:w="3555" w:type="dxa"/>
            <w:vAlign w:val="center"/>
          </w:tcPr>
          <w:p>
            <w:pPr>
              <w:spacing w:line="320" w:lineRule="exact"/>
              <w:jc w:val="center"/>
              <w:rPr>
                <w:rFonts w:ascii="宋体" w:hAnsi="宋体"/>
                <w:color w:val="auto"/>
                <w:szCs w:val="21"/>
              </w:rPr>
            </w:pPr>
            <w:r>
              <w:rPr>
                <w:rFonts w:hint="eastAsia" w:ascii="宋体" w:hAnsi="宋体"/>
                <w:color w:val="auto"/>
                <w:szCs w:val="21"/>
              </w:rPr>
              <w:t>11</w:t>
            </w:r>
            <w:r>
              <w:rPr>
                <w:rFonts w:ascii="宋体" w:hAnsi="宋体"/>
                <w:color w:val="auto"/>
                <w:szCs w:val="21"/>
              </w:rPr>
              <w:t>台（检样：</w:t>
            </w:r>
            <w:r>
              <w:rPr>
                <w:rFonts w:hint="eastAsia" w:ascii="宋体" w:hAnsi="宋体"/>
                <w:color w:val="auto"/>
                <w:szCs w:val="21"/>
              </w:rPr>
              <w:t>8</w:t>
            </w:r>
            <w:r>
              <w:rPr>
                <w:rFonts w:ascii="宋体" w:hAnsi="宋体"/>
                <w:color w:val="auto"/>
                <w:szCs w:val="21"/>
              </w:rPr>
              <w:t>台，</w:t>
            </w:r>
            <w:r>
              <w:rPr>
                <w:rFonts w:hint="eastAsia" w:ascii="宋体" w:hAnsi="宋体"/>
                <w:color w:val="auto"/>
                <w:szCs w:val="21"/>
              </w:rPr>
              <w:t>备样3</w:t>
            </w:r>
            <w:r>
              <w:rPr>
                <w:rFonts w:ascii="宋体" w:hAnsi="宋体"/>
                <w:color w:val="auto"/>
                <w:szCs w:val="21"/>
              </w:rPr>
              <w:t>台</w:t>
            </w:r>
            <w:r>
              <w:rPr>
                <w:rFonts w:hint="eastAsia" w:ascii="宋体" w:hAnsi="宋体"/>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759" w:type="dxa"/>
            <w:vMerge w:val="continue"/>
            <w:vAlign w:val="center"/>
          </w:tcPr>
          <w:p>
            <w:pPr>
              <w:jc w:val="center"/>
              <w:rPr>
                <w:rFonts w:ascii="宋体" w:hAnsi="宋体"/>
                <w:color w:val="auto"/>
                <w:szCs w:val="21"/>
              </w:rPr>
            </w:pPr>
          </w:p>
        </w:tc>
        <w:tc>
          <w:tcPr>
            <w:tcW w:w="1700" w:type="dxa"/>
            <w:vMerge w:val="restart"/>
            <w:vAlign w:val="center"/>
          </w:tcPr>
          <w:p>
            <w:pPr>
              <w:jc w:val="center"/>
              <w:rPr>
                <w:rFonts w:ascii="宋体" w:hAnsi="宋体"/>
                <w:color w:val="auto"/>
                <w:szCs w:val="21"/>
              </w:rPr>
            </w:pPr>
            <w:r>
              <w:rPr>
                <w:rFonts w:hint="eastAsia" w:ascii="宋体" w:hAnsi="宋体"/>
                <w:color w:val="auto"/>
                <w:szCs w:val="21"/>
              </w:rPr>
              <w:t>电芯数为1</w:t>
            </w:r>
          </w:p>
        </w:tc>
        <w:tc>
          <w:tcPr>
            <w:tcW w:w="1842" w:type="dxa"/>
            <w:vAlign w:val="center"/>
          </w:tcPr>
          <w:p>
            <w:pPr>
              <w:jc w:val="center"/>
              <w:rPr>
                <w:rFonts w:ascii="宋体" w:hAnsi="宋体"/>
                <w:color w:val="auto"/>
                <w:szCs w:val="21"/>
              </w:rPr>
            </w:pPr>
            <w:r>
              <w:rPr>
                <w:rFonts w:hint="eastAsia" w:ascii="宋体" w:hAnsi="宋体"/>
                <w:color w:val="auto"/>
                <w:szCs w:val="21"/>
              </w:rPr>
              <w:t>非软包电芯</w:t>
            </w:r>
          </w:p>
        </w:tc>
        <w:tc>
          <w:tcPr>
            <w:tcW w:w="3555" w:type="dxa"/>
            <w:vAlign w:val="center"/>
          </w:tcPr>
          <w:p>
            <w:pPr>
              <w:spacing w:line="320" w:lineRule="exact"/>
              <w:jc w:val="center"/>
              <w:rPr>
                <w:rFonts w:ascii="宋体" w:hAnsi="宋体"/>
                <w:color w:val="auto"/>
                <w:szCs w:val="21"/>
              </w:rPr>
            </w:pPr>
            <w:r>
              <w:rPr>
                <w:rFonts w:hint="eastAsia" w:ascii="宋体" w:hAnsi="宋体"/>
                <w:color w:val="auto"/>
                <w:szCs w:val="21"/>
              </w:rPr>
              <w:t>22台（检样：15台，备样7台）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759" w:type="dxa"/>
            <w:vMerge w:val="continue"/>
            <w:vAlign w:val="center"/>
          </w:tcPr>
          <w:p>
            <w:pPr>
              <w:jc w:val="center"/>
              <w:rPr>
                <w:rFonts w:ascii="宋体" w:hAnsi="宋体"/>
                <w:color w:val="auto"/>
                <w:szCs w:val="21"/>
              </w:rPr>
            </w:pPr>
          </w:p>
        </w:tc>
        <w:tc>
          <w:tcPr>
            <w:tcW w:w="1700" w:type="dxa"/>
            <w:vMerge w:val="continue"/>
            <w:vAlign w:val="center"/>
          </w:tcPr>
          <w:p>
            <w:pPr>
              <w:jc w:val="center"/>
              <w:rPr>
                <w:rFonts w:ascii="宋体" w:hAnsi="宋体"/>
                <w:color w:val="auto"/>
                <w:szCs w:val="21"/>
              </w:rPr>
            </w:pPr>
          </w:p>
        </w:tc>
        <w:tc>
          <w:tcPr>
            <w:tcW w:w="1842" w:type="dxa"/>
            <w:vAlign w:val="center"/>
          </w:tcPr>
          <w:p>
            <w:pPr>
              <w:jc w:val="center"/>
              <w:rPr>
                <w:rFonts w:ascii="宋体" w:hAnsi="宋体"/>
                <w:color w:val="auto"/>
                <w:szCs w:val="21"/>
              </w:rPr>
            </w:pPr>
            <w:r>
              <w:rPr>
                <w:rFonts w:hint="eastAsia" w:ascii="宋体" w:hAnsi="宋体"/>
                <w:color w:val="auto"/>
                <w:szCs w:val="21"/>
              </w:rPr>
              <w:t>软包电芯</w:t>
            </w:r>
          </w:p>
        </w:tc>
        <w:tc>
          <w:tcPr>
            <w:tcW w:w="3555" w:type="dxa"/>
            <w:vAlign w:val="center"/>
          </w:tcPr>
          <w:p>
            <w:pPr>
              <w:spacing w:line="320" w:lineRule="exact"/>
              <w:jc w:val="center"/>
              <w:rPr>
                <w:rFonts w:ascii="宋体" w:hAnsi="宋体"/>
                <w:color w:val="auto"/>
                <w:szCs w:val="21"/>
              </w:rPr>
            </w:pPr>
            <w:r>
              <w:rPr>
                <w:rFonts w:hint="eastAsia" w:ascii="宋体" w:hAnsi="宋体"/>
                <w:color w:val="auto"/>
                <w:szCs w:val="21"/>
              </w:rPr>
              <w:t>16台（检样：12台，备样4台）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759" w:type="dxa"/>
            <w:vMerge w:val="restart"/>
            <w:vAlign w:val="center"/>
          </w:tcPr>
          <w:p>
            <w:pPr>
              <w:jc w:val="center"/>
              <w:rPr>
                <w:rFonts w:ascii="宋体" w:hAnsi="宋体"/>
                <w:color w:val="auto"/>
                <w:szCs w:val="21"/>
              </w:rPr>
            </w:pPr>
            <w:r>
              <w:rPr>
                <w:rFonts w:hint="eastAsia" w:ascii="宋体" w:hAnsi="宋体"/>
                <w:color w:val="auto"/>
                <w:szCs w:val="21"/>
              </w:rPr>
              <w:t>无GB/T 35590标准的移动电源</w:t>
            </w:r>
          </w:p>
        </w:tc>
        <w:tc>
          <w:tcPr>
            <w:tcW w:w="1700" w:type="dxa"/>
            <w:vMerge w:val="restart"/>
            <w:vAlign w:val="center"/>
          </w:tcPr>
          <w:p>
            <w:pPr>
              <w:jc w:val="center"/>
              <w:rPr>
                <w:rFonts w:ascii="宋体" w:hAnsi="宋体"/>
                <w:color w:val="auto"/>
                <w:szCs w:val="21"/>
              </w:rPr>
            </w:pPr>
            <w:r>
              <w:rPr>
                <w:rFonts w:hint="eastAsia" w:ascii="宋体" w:hAnsi="宋体"/>
                <w:color w:val="auto"/>
                <w:szCs w:val="21"/>
              </w:rPr>
              <w:t>电芯数≥2</w:t>
            </w:r>
          </w:p>
        </w:tc>
        <w:tc>
          <w:tcPr>
            <w:tcW w:w="1842" w:type="dxa"/>
            <w:vAlign w:val="center"/>
          </w:tcPr>
          <w:p>
            <w:pPr>
              <w:jc w:val="center"/>
              <w:rPr>
                <w:rFonts w:ascii="宋体" w:hAnsi="宋体"/>
                <w:color w:val="auto"/>
                <w:szCs w:val="21"/>
              </w:rPr>
            </w:pPr>
            <w:r>
              <w:rPr>
                <w:rFonts w:hint="eastAsia" w:ascii="宋体" w:hAnsi="宋体"/>
                <w:color w:val="auto"/>
                <w:szCs w:val="21"/>
              </w:rPr>
              <w:t>非软包电芯</w:t>
            </w:r>
          </w:p>
        </w:tc>
        <w:tc>
          <w:tcPr>
            <w:tcW w:w="3555" w:type="dxa"/>
            <w:vAlign w:val="center"/>
          </w:tcPr>
          <w:p>
            <w:pPr>
              <w:spacing w:line="320" w:lineRule="exact"/>
              <w:jc w:val="center"/>
              <w:rPr>
                <w:rFonts w:ascii="宋体" w:hAnsi="宋体"/>
                <w:color w:val="auto"/>
                <w:szCs w:val="21"/>
              </w:rPr>
            </w:pPr>
            <w:r>
              <w:rPr>
                <w:rFonts w:hint="eastAsia" w:ascii="宋体" w:hAnsi="宋体"/>
                <w:color w:val="auto"/>
                <w:szCs w:val="21"/>
              </w:rPr>
              <w:t>9台（检样：6台，备样3台）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759" w:type="dxa"/>
            <w:vMerge w:val="continue"/>
            <w:vAlign w:val="center"/>
          </w:tcPr>
          <w:p>
            <w:pPr>
              <w:jc w:val="center"/>
              <w:rPr>
                <w:rFonts w:ascii="宋体" w:hAnsi="宋体"/>
                <w:color w:val="auto"/>
                <w:szCs w:val="21"/>
              </w:rPr>
            </w:pPr>
          </w:p>
        </w:tc>
        <w:tc>
          <w:tcPr>
            <w:tcW w:w="1700" w:type="dxa"/>
            <w:vMerge w:val="continue"/>
            <w:vAlign w:val="center"/>
          </w:tcPr>
          <w:p>
            <w:pPr>
              <w:jc w:val="center"/>
              <w:rPr>
                <w:rFonts w:ascii="宋体" w:hAnsi="宋体"/>
                <w:color w:val="auto"/>
                <w:szCs w:val="21"/>
              </w:rPr>
            </w:pPr>
          </w:p>
        </w:tc>
        <w:tc>
          <w:tcPr>
            <w:tcW w:w="1842" w:type="dxa"/>
            <w:vAlign w:val="center"/>
          </w:tcPr>
          <w:p>
            <w:pPr>
              <w:jc w:val="center"/>
              <w:rPr>
                <w:rFonts w:ascii="宋体" w:hAnsi="宋体"/>
                <w:color w:val="auto"/>
                <w:szCs w:val="21"/>
              </w:rPr>
            </w:pPr>
            <w:r>
              <w:rPr>
                <w:rFonts w:hint="eastAsia" w:ascii="宋体" w:hAnsi="宋体"/>
                <w:color w:val="auto"/>
                <w:szCs w:val="21"/>
              </w:rPr>
              <w:t>软包电芯</w:t>
            </w:r>
          </w:p>
        </w:tc>
        <w:tc>
          <w:tcPr>
            <w:tcW w:w="3555" w:type="dxa"/>
            <w:vAlign w:val="center"/>
          </w:tcPr>
          <w:p>
            <w:pPr>
              <w:spacing w:line="320" w:lineRule="exact"/>
              <w:jc w:val="center"/>
              <w:rPr>
                <w:rFonts w:ascii="宋体" w:hAnsi="宋体"/>
                <w:color w:val="auto"/>
                <w:szCs w:val="21"/>
              </w:rPr>
            </w:pPr>
            <w:r>
              <w:rPr>
                <w:rFonts w:hint="eastAsia" w:ascii="宋体" w:hAnsi="宋体"/>
                <w:color w:val="auto"/>
                <w:szCs w:val="21"/>
              </w:rPr>
              <w:t>7</w:t>
            </w:r>
            <w:r>
              <w:rPr>
                <w:rFonts w:ascii="宋体" w:hAnsi="宋体"/>
                <w:color w:val="auto"/>
                <w:szCs w:val="21"/>
              </w:rPr>
              <w:t>台（检样：</w:t>
            </w:r>
            <w:r>
              <w:rPr>
                <w:rFonts w:hint="eastAsia" w:ascii="宋体" w:hAnsi="宋体"/>
                <w:color w:val="auto"/>
                <w:szCs w:val="21"/>
              </w:rPr>
              <w:t>5</w:t>
            </w:r>
            <w:r>
              <w:rPr>
                <w:rFonts w:ascii="宋体" w:hAnsi="宋体"/>
                <w:color w:val="auto"/>
                <w:szCs w:val="21"/>
              </w:rPr>
              <w:t>台，</w:t>
            </w:r>
            <w:r>
              <w:rPr>
                <w:rFonts w:hint="eastAsia" w:ascii="宋体" w:hAnsi="宋体"/>
                <w:color w:val="auto"/>
                <w:szCs w:val="21"/>
              </w:rPr>
              <w:t>备样2</w:t>
            </w:r>
            <w:r>
              <w:rPr>
                <w:rFonts w:ascii="宋体" w:hAnsi="宋体"/>
                <w:color w:val="auto"/>
                <w:szCs w:val="21"/>
              </w:rPr>
              <w:t>台</w:t>
            </w:r>
            <w:r>
              <w:rPr>
                <w:rFonts w:hint="eastAsia" w:ascii="宋体" w:hAnsi="宋体"/>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759" w:type="dxa"/>
            <w:vMerge w:val="continue"/>
            <w:vAlign w:val="center"/>
          </w:tcPr>
          <w:p>
            <w:pPr>
              <w:jc w:val="center"/>
              <w:rPr>
                <w:rFonts w:ascii="宋体" w:hAnsi="宋体"/>
                <w:color w:val="auto"/>
                <w:szCs w:val="21"/>
              </w:rPr>
            </w:pPr>
          </w:p>
        </w:tc>
        <w:tc>
          <w:tcPr>
            <w:tcW w:w="1700" w:type="dxa"/>
            <w:vMerge w:val="restart"/>
            <w:vAlign w:val="center"/>
          </w:tcPr>
          <w:p>
            <w:pPr>
              <w:jc w:val="center"/>
              <w:rPr>
                <w:rFonts w:ascii="宋体" w:hAnsi="宋体"/>
                <w:color w:val="auto"/>
                <w:szCs w:val="21"/>
              </w:rPr>
            </w:pPr>
            <w:r>
              <w:rPr>
                <w:rFonts w:hint="eastAsia" w:ascii="宋体" w:hAnsi="宋体"/>
                <w:color w:val="auto"/>
                <w:szCs w:val="21"/>
              </w:rPr>
              <w:t>电芯数为1</w:t>
            </w:r>
          </w:p>
        </w:tc>
        <w:tc>
          <w:tcPr>
            <w:tcW w:w="1842" w:type="dxa"/>
            <w:vAlign w:val="center"/>
          </w:tcPr>
          <w:p>
            <w:pPr>
              <w:jc w:val="center"/>
              <w:rPr>
                <w:rFonts w:ascii="宋体" w:hAnsi="宋体"/>
                <w:color w:val="auto"/>
                <w:szCs w:val="21"/>
              </w:rPr>
            </w:pPr>
            <w:r>
              <w:rPr>
                <w:rFonts w:hint="eastAsia" w:ascii="宋体" w:hAnsi="宋体"/>
                <w:color w:val="auto"/>
                <w:szCs w:val="21"/>
              </w:rPr>
              <w:t>非软包电芯</w:t>
            </w:r>
          </w:p>
        </w:tc>
        <w:tc>
          <w:tcPr>
            <w:tcW w:w="3555" w:type="dxa"/>
            <w:vAlign w:val="center"/>
          </w:tcPr>
          <w:p>
            <w:pPr>
              <w:spacing w:line="320" w:lineRule="exact"/>
              <w:jc w:val="center"/>
              <w:rPr>
                <w:rFonts w:ascii="宋体" w:hAnsi="宋体"/>
                <w:color w:val="auto"/>
                <w:szCs w:val="21"/>
              </w:rPr>
            </w:pPr>
            <w:r>
              <w:rPr>
                <w:rFonts w:hint="eastAsia" w:ascii="宋体" w:hAnsi="宋体"/>
                <w:color w:val="auto"/>
                <w:szCs w:val="21"/>
              </w:rPr>
              <w:t>18台（检样：12台，备样6台）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1759" w:type="dxa"/>
            <w:vMerge w:val="continue"/>
            <w:vAlign w:val="center"/>
          </w:tcPr>
          <w:p>
            <w:pPr>
              <w:jc w:val="center"/>
              <w:rPr>
                <w:rFonts w:ascii="宋体" w:hAnsi="宋体"/>
                <w:color w:val="auto"/>
                <w:szCs w:val="21"/>
              </w:rPr>
            </w:pPr>
          </w:p>
        </w:tc>
        <w:tc>
          <w:tcPr>
            <w:tcW w:w="1700" w:type="dxa"/>
            <w:vMerge w:val="continue"/>
            <w:vAlign w:val="center"/>
          </w:tcPr>
          <w:p>
            <w:pPr>
              <w:jc w:val="center"/>
              <w:rPr>
                <w:rFonts w:ascii="宋体" w:hAnsi="宋体"/>
                <w:color w:val="auto"/>
                <w:szCs w:val="21"/>
              </w:rPr>
            </w:pPr>
          </w:p>
        </w:tc>
        <w:tc>
          <w:tcPr>
            <w:tcW w:w="1842" w:type="dxa"/>
            <w:vAlign w:val="center"/>
          </w:tcPr>
          <w:p>
            <w:pPr>
              <w:jc w:val="center"/>
              <w:rPr>
                <w:rFonts w:ascii="宋体" w:hAnsi="宋体"/>
                <w:color w:val="auto"/>
                <w:szCs w:val="21"/>
              </w:rPr>
            </w:pPr>
            <w:r>
              <w:rPr>
                <w:rFonts w:hint="eastAsia" w:ascii="宋体" w:hAnsi="宋体"/>
                <w:color w:val="auto"/>
                <w:szCs w:val="21"/>
              </w:rPr>
              <w:t>软包电芯</w:t>
            </w:r>
          </w:p>
        </w:tc>
        <w:tc>
          <w:tcPr>
            <w:tcW w:w="3555" w:type="dxa"/>
            <w:vAlign w:val="center"/>
          </w:tcPr>
          <w:p>
            <w:pPr>
              <w:spacing w:line="320" w:lineRule="exact"/>
              <w:jc w:val="center"/>
              <w:rPr>
                <w:rFonts w:ascii="宋体" w:hAnsi="宋体"/>
                <w:color w:val="auto"/>
                <w:szCs w:val="21"/>
              </w:rPr>
            </w:pPr>
            <w:r>
              <w:rPr>
                <w:rFonts w:hint="eastAsia" w:ascii="宋体" w:hAnsi="宋体"/>
                <w:color w:val="auto"/>
                <w:szCs w:val="21"/>
              </w:rPr>
              <w:t>12台（检样：9台，备样3台）</w:t>
            </w:r>
          </w:p>
        </w:tc>
      </w:tr>
    </w:tbl>
    <w:p>
      <w:pPr>
        <w:snapToGrid w:val="0"/>
        <w:spacing w:line="440" w:lineRule="exact"/>
        <w:rPr>
          <w:color w:val="auto"/>
          <w:szCs w:val="21"/>
        </w:rPr>
      </w:pPr>
      <w:r>
        <w:rPr>
          <w:rFonts w:hint="eastAsia" w:ascii="宋体" w:hAnsi="宋体" w:cs="宋体"/>
          <w:color w:val="auto"/>
          <w:szCs w:val="21"/>
        </w:rPr>
        <w:t>6.1.2</w:t>
      </w:r>
      <w:r>
        <w:rPr>
          <w:rFonts w:hint="eastAsia" w:ascii="宋体" w:hAnsi="宋体"/>
          <w:color w:val="auto"/>
          <w:szCs w:val="21"/>
        </w:rPr>
        <w:t xml:space="preserve">.4 </w:t>
      </w:r>
      <w:r>
        <w:rPr>
          <w:rFonts w:hint="eastAsia"/>
          <w:color w:val="auto"/>
          <w:szCs w:val="21"/>
        </w:rPr>
        <w:t>注意事项</w:t>
      </w:r>
    </w:p>
    <w:p>
      <w:pPr>
        <w:snapToGrid w:val="0"/>
        <w:spacing w:line="440" w:lineRule="exact"/>
        <w:ind w:firstLine="420" w:firstLineChars="200"/>
        <w:rPr>
          <w:rFonts w:ascii="宋体" w:hAnsi="宋体"/>
          <w:color w:val="auto"/>
          <w:szCs w:val="21"/>
        </w:rPr>
      </w:pPr>
      <w:r>
        <w:rPr>
          <w:color w:val="auto"/>
        </w:rPr>
        <w:t>抽样人员应先在抽取的所有样品上分别签名（要确保签名部位对样品检测结果不产生影响，样品上不便签字的，在样品包装上签字），再对加贴封条前后样品进行拍照。样品加贴封条前，对样品签名部位、产品外观、产品包装及标识、产品合格证（如不破坏原包装能取到时）等方面进行拍照，拍取的照片应能够清晰反映所抽样品的相关信息，如生产企业名称、生产地址、产品型号规格、产品等级、生产日期（或生产批号）、执行标准等信息内容。样品加贴封条后，再对检验样品和备用样品分别进行拍照，拍取的照片应能够反映出样品加贴封条完好的全貌。照片由抽样人员传送至检验机构，检验机构出具检验报告时应将样品照片（样品签名部位、产品外观、产品包装及标识、产品合格证（如能取到时）以及加贴封条的样品等照片）纳入报告中。</w:t>
      </w:r>
    </w:p>
    <w:p>
      <w:pPr>
        <w:snapToGrid w:val="0"/>
        <w:spacing w:line="440" w:lineRule="exact"/>
        <w:rPr>
          <w:rFonts w:ascii="宋体" w:hAnsi="宋体"/>
          <w:color w:val="auto"/>
          <w:szCs w:val="21"/>
        </w:rPr>
      </w:pPr>
      <w:r>
        <w:rPr>
          <w:rFonts w:hint="eastAsia" w:ascii="宋体" w:hAnsi="宋体"/>
          <w:color w:val="auto"/>
          <w:szCs w:val="21"/>
        </w:rPr>
        <w:t>6.</w:t>
      </w:r>
      <w:r>
        <w:rPr>
          <w:rFonts w:ascii="宋体" w:hAnsi="宋体"/>
          <w:color w:val="auto"/>
          <w:szCs w:val="21"/>
        </w:rPr>
        <w:t>1.3</w:t>
      </w:r>
      <w:r>
        <w:rPr>
          <w:rFonts w:hint="eastAsia" w:ascii="宋体" w:hAnsi="宋体"/>
          <w:color w:val="auto"/>
          <w:szCs w:val="21"/>
        </w:rPr>
        <w:t>样品处置</w:t>
      </w:r>
    </w:p>
    <w:p>
      <w:pPr>
        <w:tabs>
          <w:tab w:val="left" w:pos="9180"/>
        </w:tabs>
        <w:spacing w:line="360" w:lineRule="auto"/>
        <w:rPr>
          <w:rFonts w:ascii="宋体" w:hAnsi="宋体"/>
          <w:color w:val="auto"/>
          <w:szCs w:val="21"/>
        </w:rPr>
      </w:pPr>
      <w:r>
        <w:rPr>
          <w:rFonts w:hint="eastAsia" w:ascii="宋体" w:hAnsi="宋体"/>
          <w:color w:val="auto"/>
          <w:szCs w:val="21"/>
        </w:rPr>
        <w:t>6.1.3.1抽样人员应当采取有效的防拆封措施，对检验样品和备用样品分别封样，并由抽样人员和被抽样生产者、销售者签字确认。检样由抽样人员携带或者寄递检验机构，备样封存在受检单位。被抽样生产者、销售者应当妥善保管封存的样品，不得隐匿、转移、变卖、损毁。</w:t>
      </w:r>
    </w:p>
    <w:p>
      <w:pPr>
        <w:snapToGrid w:val="0"/>
        <w:spacing w:line="440" w:lineRule="exact"/>
        <w:rPr>
          <w:rFonts w:ascii="宋体" w:hAnsi="宋体"/>
          <w:color w:val="auto"/>
          <w:szCs w:val="21"/>
        </w:rPr>
      </w:pPr>
      <w:r>
        <w:rPr>
          <w:rFonts w:hint="eastAsia" w:ascii="宋体" w:hAnsi="宋体"/>
          <w:color w:val="auto"/>
          <w:szCs w:val="21"/>
        </w:rPr>
        <w:t>6.1.3.2</w:t>
      </w:r>
      <w:r>
        <w:rPr>
          <w:rFonts w:hint="eastAsia" w:ascii="宋体" w:hAnsi="宋体"/>
          <w:color w:val="auto"/>
          <w:szCs w:val="21"/>
        </w:rPr>
        <w:t>抽取的样品按运输条件包装好，在包装上的所有可能的开口处贴上封条，</w:t>
      </w:r>
      <w:r>
        <w:rPr>
          <w:rFonts w:hint="eastAsia" w:ascii="宋体" w:hAnsi="宋体"/>
          <w:color w:val="auto"/>
          <w:szCs w:val="21"/>
        </w:rPr>
        <w:t>同时应</w:t>
      </w:r>
      <w:r>
        <w:rPr>
          <w:rFonts w:hint="eastAsia" w:ascii="宋体" w:hAnsi="宋体" w:cs="Sim Sun"/>
          <w:color w:val="auto"/>
          <w:kern w:val="0"/>
          <w:szCs w:val="21"/>
        </w:rPr>
        <w:t>保证封条在运输过程中不会破损</w:t>
      </w:r>
      <w:r>
        <w:rPr>
          <w:rFonts w:hint="eastAsia" w:ascii="宋体" w:hAnsi="宋体"/>
          <w:color w:val="auto"/>
          <w:szCs w:val="21"/>
        </w:rPr>
        <w:t>。</w:t>
      </w:r>
      <w:r>
        <w:rPr>
          <w:rFonts w:hint="eastAsia" w:ascii="宋体" w:hAnsi="宋体"/>
          <w:color w:val="auto"/>
          <w:szCs w:val="28"/>
        </w:rPr>
        <w:t>运输时严防雨淋、日晒、受潮。装卸时轻搬轻放，严禁掷抛。贮存时注意防晒、防雨淋、防潮。</w:t>
      </w:r>
    </w:p>
    <w:p>
      <w:pPr>
        <w:tabs>
          <w:tab w:val="left" w:pos="9180"/>
        </w:tabs>
        <w:spacing w:line="360" w:lineRule="auto"/>
        <w:rPr>
          <w:rFonts w:ascii="宋体" w:hAnsi="宋体"/>
          <w:color w:val="auto"/>
          <w:szCs w:val="21"/>
        </w:rPr>
      </w:pPr>
      <w:r>
        <w:rPr>
          <w:rFonts w:hint="eastAsia" w:ascii="宋体" w:hAnsi="宋体"/>
          <w:color w:val="auto"/>
          <w:szCs w:val="21"/>
        </w:rPr>
        <w:t>6.1.3.3承检机构接收样品时应当检查、记录样品的外观、状态、封条有无破损及其他可能对检验结果或者综合判定产生影响的情况，并确认样品与抽样文书的记录是否相符，对样品加贴相应标识后入库待检。</w:t>
      </w:r>
    </w:p>
    <w:p>
      <w:pPr>
        <w:autoSpaceDE w:val="0"/>
        <w:autoSpaceDN w:val="0"/>
        <w:adjustRightInd w:val="0"/>
        <w:spacing w:line="360" w:lineRule="auto"/>
        <w:jc w:val="left"/>
        <w:rPr>
          <w:rFonts w:ascii="宋体" w:hAnsi="宋体" w:cs="楷体_GB2312"/>
          <w:bCs/>
          <w:color w:val="auto"/>
          <w:kern w:val="0"/>
          <w:szCs w:val="21"/>
          <w:lang w:val="zh-CN"/>
        </w:rPr>
      </w:pPr>
      <w:r>
        <w:rPr>
          <w:rFonts w:hint="eastAsia" w:ascii="宋体" w:hAnsi="宋体" w:cs="楷体_GB2312"/>
          <w:bCs/>
          <w:color w:val="auto"/>
          <w:kern w:val="0"/>
          <w:szCs w:val="21"/>
          <w:lang w:val="zh-CN"/>
        </w:rPr>
        <w:t>6.2 网络抽样</w:t>
      </w:r>
    </w:p>
    <w:p>
      <w:pPr>
        <w:autoSpaceDE w:val="0"/>
        <w:autoSpaceDN w:val="0"/>
        <w:adjustRightInd w:val="0"/>
        <w:spacing w:line="360" w:lineRule="auto"/>
        <w:jc w:val="left"/>
        <w:rPr>
          <w:rFonts w:ascii="宋体" w:hAnsi="宋体" w:cs="楷体_GB2312"/>
          <w:bCs/>
          <w:color w:val="auto"/>
          <w:kern w:val="0"/>
          <w:szCs w:val="21"/>
          <w:lang w:val="zh-CN"/>
        </w:rPr>
      </w:pPr>
      <w:r>
        <w:rPr>
          <w:rFonts w:hint="eastAsia" w:ascii="宋体" w:hAnsi="宋体" w:cs="楷体_GB2312"/>
          <w:bCs/>
          <w:color w:val="auto"/>
          <w:kern w:val="0"/>
          <w:szCs w:val="21"/>
          <w:lang w:val="zh-CN"/>
        </w:rPr>
        <w:t>6.2.1 对电子商务经营者销售的本行政区域内的生产者生产的产品和本行政区域内的电子商务经营者销售的产品进行抽样时，可以以消费者的名义买样。</w:t>
      </w:r>
    </w:p>
    <w:p>
      <w:pPr>
        <w:autoSpaceDE w:val="0"/>
        <w:autoSpaceDN w:val="0"/>
        <w:adjustRightInd w:val="0"/>
        <w:spacing w:line="360" w:lineRule="auto"/>
        <w:jc w:val="left"/>
        <w:rPr>
          <w:rFonts w:ascii="宋体" w:hAnsi="宋体" w:cs="楷体_GB2312"/>
          <w:bCs/>
          <w:color w:val="auto"/>
          <w:kern w:val="0"/>
          <w:szCs w:val="21"/>
          <w:lang w:val="zh-CN"/>
        </w:rPr>
      </w:pPr>
      <w:r>
        <w:rPr>
          <w:rFonts w:hint="eastAsia" w:ascii="宋体" w:hAnsi="宋体" w:cs="楷体_GB2312"/>
          <w:bCs/>
          <w:color w:val="auto"/>
          <w:kern w:val="0"/>
          <w:szCs w:val="21"/>
          <w:lang w:val="zh-CN"/>
        </w:rPr>
        <w:t>6.2.2 进行网络抽样的，应当记录抽样人员以及付款账户、注册账号、收货地址、联系方式等信息。抽样人员应当通过截图、拍照或者录像的方式记录被抽样销售者信息、样品网页展示信息，以及订单信息、支付记录等。</w:t>
      </w:r>
    </w:p>
    <w:p>
      <w:pPr>
        <w:autoSpaceDE w:val="0"/>
        <w:autoSpaceDN w:val="0"/>
        <w:adjustRightInd w:val="0"/>
        <w:spacing w:line="360" w:lineRule="auto"/>
        <w:jc w:val="left"/>
        <w:rPr>
          <w:rFonts w:ascii="宋体" w:hAnsi="宋体" w:cs="楷体_GB2312"/>
          <w:bCs/>
          <w:color w:val="auto"/>
          <w:kern w:val="0"/>
          <w:szCs w:val="21"/>
          <w:lang w:val="zh-CN"/>
        </w:rPr>
      </w:pPr>
      <w:r>
        <w:rPr>
          <w:rFonts w:hint="eastAsia" w:ascii="宋体" w:hAnsi="宋体" w:cs="楷体_GB2312"/>
          <w:bCs/>
          <w:color w:val="auto"/>
          <w:kern w:val="0"/>
          <w:szCs w:val="21"/>
          <w:lang w:val="zh-CN"/>
        </w:rPr>
        <w:t>6.2.3 抽样人员购买的样品应当包括检验样品和备用样品。</w:t>
      </w:r>
    </w:p>
    <w:p>
      <w:pPr>
        <w:autoSpaceDE w:val="0"/>
        <w:autoSpaceDN w:val="0"/>
        <w:adjustRightInd w:val="0"/>
        <w:spacing w:line="360" w:lineRule="auto"/>
        <w:jc w:val="left"/>
        <w:rPr>
          <w:rFonts w:ascii="宋体" w:hAnsi="宋体" w:cs="楷体_GB2312"/>
          <w:bCs/>
          <w:color w:val="auto"/>
          <w:kern w:val="0"/>
          <w:szCs w:val="21"/>
          <w:lang w:val="zh-CN"/>
        </w:rPr>
      </w:pPr>
      <w:r>
        <w:rPr>
          <w:rFonts w:hint="eastAsia" w:ascii="宋体" w:hAnsi="宋体" w:cs="楷体_GB2312"/>
          <w:bCs/>
          <w:color w:val="auto"/>
          <w:kern w:val="0"/>
          <w:szCs w:val="21"/>
          <w:lang w:val="zh-CN"/>
        </w:rPr>
        <w:t>6.2.4 抽样人员收到样品后，应当通过拍照或者录像的方式记录拆封过程，对寄递包装、样品包装、样品标识、样品寄递情形等进行查验，对检验样品和备用样品分别封样，并将检验样品和备用样品携带或者寄递至检验机构进行检验。</w:t>
      </w:r>
    </w:p>
    <w:p>
      <w:pPr>
        <w:autoSpaceDE w:val="0"/>
        <w:autoSpaceDN w:val="0"/>
        <w:adjustRightInd w:val="0"/>
        <w:spacing w:line="360" w:lineRule="auto"/>
        <w:jc w:val="left"/>
        <w:rPr>
          <w:rFonts w:ascii="宋体" w:hAnsi="宋体" w:cs="楷体_GB2312"/>
          <w:bCs/>
          <w:color w:val="auto"/>
          <w:kern w:val="0"/>
          <w:szCs w:val="21"/>
          <w:lang w:val="zh-CN"/>
        </w:rPr>
      </w:pPr>
      <w:r>
        <w:rPr>
          <w:rFonts w:hint="eastAsia" w:ascii="宋体" w:hAnsi="宋体" w:cs="楷体_GB2312"/>
          <w:bCs/>
          <w:color w:val="auto"/>
          <w:kern w:val="0"/>
          <w:szCs w:val="21"/>
          <w:lang w:val="zh-CN"/>
        </w:rPr>
        <w:t>6</w:t>
      </w:r>
      <w:r>
        <w:rPr>
          <w:rFonts w:ascii="宋体" w:hAnsi="宋体" w:cs="楷体_GB2312"/>
          <w:bCs/>
          <w:color w:val="auto"/>
          <w:kern w:val="0"/>
          <w:szCs w:val="21"/>
          <w:lang w:val="zh-CN"/>
        </w:rPr>
        <w:t>.</w:t>
      </w:r>
      <w:r>
        <w:rPr>
          <w:rFonts w:hint="eastAsia" w:ascii="宋体" w:hAnsi="宋体" w:cs="楷体_GB2312"/>
          <w:bCs/>
          <w:color w:val="auto"/>
          <w:kern w:val="0"/>
          <w:szCs w:val="21"/>
          <w:lang w:val="zh-CN"/>
        </w:rPr>
        <w:t>3</w:t>
      </w:r>
      <w:r>
        <w:rPr>
          <w:rFonts w:ascii="宋体" w:hAnsi="宋体" w:cs="楷体_GB2312"/>
          <w:bCs/>
          <w:color w:val="auto"/>
          <w:kern w:val="0"/>
          <w:szCs w:val="21"/>
          <w:lang w:val="zh-CN"/>
        </w:rPr>
        <w:t xml:space="preserve"> 抽</w:t>
      </w:r>
      <w:r>
        <w:rPr>
          <w:rFonts w:hint="eastAsia" w:ascii="宋体" w:hAnsi="宋体" w:cs="楷体_GB2312"/>
          <w:bCs/>
          <w:color w:val="auto"/>
          <w:kern w:val="0"/>
          <w:szCs w:val="21"/>
          <w:lang w:val="zh-CN"/>
        </w:rPr>
        <w:t>样单</w:t>
      </w:r>
    </w:p>
    <w:p>
      <w:pPr>
        <w:snapToGrid w:val="0"/>
        <w:spacing w:line="360" w:lineRule="auto"/>
        <w:rPr>
          <w:rFonts w:ascii="宋体" w:hAnsi="宋体"/>
          <w:iCs/>
          <w:color w:val="auto"/>
          <w:szCs w:val="21"/>
        </w:rPr>
      </w:pPr>
      <w:r>
        <w:rPr>
          <w:rFonts w:hint="eastAsia" w:ascii="宋体" w:hAnsi="宋体"/>
          <w:color w:val="auto"/>
          <w:szCs w:val="21"/>
        </w:rPr>
        <w:t>6</w:t>
      </w:r>
      <w:r>
        <w:rPr>
          <w:rFonts w:ascii="宋体" w:hAnsi="宋体"/>
          <w:color w:val="auto"/>
          <w:szCs w:val="21"/>
        </w:rPr>
        <w:t>.3.</w:t>
      </w:r>
      <w:r>
        <w:rPr>
          <w:rFonts w:hint="eastAsia" w:ascii="宋体" w:hAnsi="宋体"/>
          <w:iCs/>
          <w:color w:val="auto"/>
          <w:szCs w:val="21"/>
        </w:rPr>
        <w:t>1生产领域</w:t>
      </w:r>
    </w:p>
    <w:p>
      <w:pPr>
        <w:snapToGrid w:val="0"/>
        <w:spacing w:line="360" w:lineRule="auto"/>
        <w:ind w:firstLine="420" w:firstLineChars="200"/>
        <w:rPr>
          <w:rFonts w:ascii="宋体" w:hAnsi="宋体"/>
          <w:color w:val="auto"/>
          <w:szCs w:val="21"/>
        </w:rPr>
      </w:pPr>
      <w:r>
        <w:rPr>
          <w:rFonts w:hint="eastAsia" w:ascii="宋体" w:hAnsi="宋体"/>
          <w:iCs/>
          <w:color w:val="auto"/>
          <w:szCs w:val="21"/>
        </w:rPr>
        <w:t>应按有关规定填写抽样单，并记录被抽查产品及企业相关信息。</w:t>
      </w:r>
      <w:r>
        <w:rPr>
          <w:rFonts w:hint="eastAsia" w:ascii="宋体" w:hAnsi="宋体"/>
          <w:color w:val="auto"/>
          <w:szCs w:val="21"/>
        </w:rPr>
        <w:t>同时记录被抽查企业上一年度生产的相关产品销售总额，以万元计；若企业上一年度未生产，则记录本年度实际销售额，并加以注明。</w:t>
      </w:r>
      <w:r>
        <w:rPr>
          <w:rFonts w:hint="eastAsia" w:ascii="宋体" w:hAnsi="宋体"/>
          <w:iCs/>
          <w:color w:val="auto"/>
          <w:szCs w:val="21"/>
        </w:rPr>
        <w:t>对于产品检验所需的样品技术参数包括被抽查产品的依据标准等信息，需要受检单位提供的，应在抽样现场获取，并经生产企业确认。</w:t>
      </w:r>
    </w:p>
    <w:p>
      <w:pPr>
        <w:snapToGrid w:val="0"/>
        <w:spacing w:line="360" w:lineRule="auto"/>
        <w:rPr>
          <w:rFonts w:ascii="宋体" w:hAnsi="宋体"/>
          <w:iCs/>
          <w:color w:val="auto"/>
          <w:szCs w:val="21"/>
        </w:rPr>
      </w:pPr>
      <w:r>
        <w:rPr>
          <w:rFonts w:hint="eastAsia" w:ascii="宋体" w:hAnsi="宋体"/>
          <w:color w:val="auto"/>
          <w:szCs w:val="21"/>
        </w:rPr>
        <w:t>6</w:t>
      </w:r>
      <w:r>
        <w:rPr>
          <w:rFonts w:ascii="宋体" w:hAnsi="宋体"/>
          <w:color w:val="auto"/>
          <w:szCs w:val="21"/>
        </w:rPr>
        <w:t>.3</w:t>
      </w:r>
      <w:r>
        <w:rPr>
          <w:rFonts w:hint="eastAsia" w:ascii="宋体" w:hAnsi="宋体"/>
          <w:iCs/>
          <w:color w:val="auto"/>
          <w:szCs w:val="21"/>
        </w:rPr>
        <w:t>.2 流通领域</w:t>
      </w:r>
    </w:p>
    <w:p>
      <w:pPr>
        <w:snapToGrid w:val="0"/>
        <w:spacing w:line="360" w:lineRule="auto"/>
        <w:ind w:firstLine="420" w:firstLineChars="200"/>
        <w:rPr>
          <w:rFonts w:ascii="宋体" w:hAnsi="宋体"/>
          <w:iCs/>
          <w:color w:val="auto"/>
          <w:szCs w:val="21"/>
        </w:rPr>
      </w:pPr>
      <w:r>
        <w:rPr>
          <w:rFonts w:hint="eastAsia" w:ascii="宋体" w:hAnsi="宋体"/>
          <w:color w:val="auto"/>
          <w:szCs w:val="21"/>
        </w:rPr>
        <w:t>市场抽样：</w:t>
      </w:r>
      <w:r>
        <w:rPr>
          <w:rFonts w:hint="eastAsia" w:ascii="宋体" w:hAnsi="宋体"/>
          <w:iCs/>
          <w:color w:val="auto"/>
          <w:szCs w:val="21"/>
        </w:rPr>
        <w:t>应按有关规定填写抽样单，并记录被抽查产品及受检单位相关信息。同时记录被抽查受检单位所抽产品的进货量和库存量，以对应产品的单位计；记录被抽查企业所抽产品的销售单价，以万元计。对于产品检验所需的样品技术参数包括被抽查产品的依据标准等信息，需要受检单位提供的，应在抽样现场获取，并经生产企业确认。</w:t>
      </w:r>
    </w:p>
    <w:p>
      <w:pPr>
        <w:snapToGrid w:val="0"/>
        <w:spacing w:line="360" w:lineRule="auto"/>
        <w:ind w:firstLine="420" w:firstLineChars="200"/>
        <w:rPr>
          <w:rFonts w:ascii="宋体" w:hAnsi="宋体"/>
          <w:color w:val="auto"/>
          <w:szCs w:val="21"/>
        </w:rPr>
      </w:pPr>
      <w:r>
        <w:rPr>
          <w:rFonts w:hint="eastAsia" w:ascii="宋体" w:hAnsi="宋体"/>
          <w:color w:val="auto"/>
          <w:szCs w:val="21"/>
        </w:rPr>
        <w:t>网络抽样：应当根据样品情况填写抽样文书。抽样文书经抽样人员签字并加盖抽样单位公章后，与监督抽查通知书一并寄送被抽样销售者。抽样机构执行买样任务的，还应当寄送组织监督抽查的市场监督管理部门出具的授权委托书复印件。</w:t>
      </w:r>
    </w:p>
    <w:p>
      <w:pPr>
        <w:snapToGrid w:val="0"/>
        <w:spacing w:line="360" w:lineRule="auto"/>
        <w:rPr>
          <w:rFonts w:ascii="黑体" w:hAnsi="黑体" w:eastAsia="黑体"/>
          <w:iCs/>
          <w:color w:val="auto"/>
          <w:szCs w:val="21"/>
        </w:rPr>
      </w:pPr>
      <w:r>
        <w:rPr>
          <w:rFonts w:hint="eastAsia" w:ascii="黑体" w:hAnsi="黑体" w:eastAsia="黑体" w:cs="宋体"/>
          <w:bCs/>
          <w:color w:val="auto"/>
          <w:szCs w:val="21"/>
        </w:rPr>
        <w:t>7  检验要求</w:t>
      </w:r>
    </w:p>
    <w:p>
      <w:pPr>
        <w:snapToGrid w:val="0"/>
        <w:spacing w:line="360" w:lineRule="auto"/>
        <w:rPr>
          <w:rFonts w:ascii="黑体" w:hAnsi="黑体" w:eastAsia="黑体"/>
          <w:iCs/>
          <w:color w:val="auto"/>
          <w:szCs w:val="21"/>
        </w:rPr>
      </w:pPr>
      <w:r>
        <w:rPr>
          <w:rFonts w:hint="eastAsia" w:ascii="宋体" w:hAnsi="宋体" w:cs="宋体"/>
          <w:color w:val="auto"/>
          <w:szCs w:val="21"/>
        </w:rPr>
        <w:t>7.1检验项目及重要程度分类，见表4</w:t>
      </w:r>
    </w:p>
    <w:p>
      <w:pPr>
        <w:spacing w:line="400" w:lineRule="exact"/>
        <w:jc w:val="center"/>
        <w:rPr>
          <w:rFonts w:ascii="宋体" w:hAnsi="宋体" w:cs="宋体"/>
          <w:color w:val="auto"/>
          <w:szCs w:val="21"/>
        </w:rPr>
      </w:pPr>
      <w:r>
        <w:rPr>
          <w:rFonts w:hint="eastAsia" w:ascii="宋体" w:hAnsi="宋体" w:cs="宋体"/>
          <w:color w:val="auto"/>
          <w:szCs w:val="21"/>
        </w:rPr>
        <w:t>表4检验项目及重要程度分类</w:t>
      </w:r>
    </w:p>
    <w:tbl>
      <w:tblPr>
        <w:tblStyle w:val="15"/>
        <w:tblW w:w="84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1905"/>
        <w:gridCol w:w="1970"/>
        <w:gridCol w:w="2184"/>
        <w:gridCol w:w="840"/>
        <w:gridCol w:w="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8" w:hRule="atLeast"/>
          <w:tblHeader/>
          <w:jc w:val="center"/>
        </w:trPr>
        <w:tc>
          <w:tcPr>
            <w:tcW w:w="70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序号</w:t>
            </w:r>
          </w:p>
        </w:tc>
        <w:tc>
          <w:tcPr>
            <w:tcW w:w="1905"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检验项目</w:t>
            </w:r>
          </w:p>
        </w:tc>
        <w:tc>
          <w:tcPr>
            <w:tcW w:w="1970"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依据标准</w:t>
            </w:r>
          </w:p>
        </w:tc>
        <w:tc>
          <w:tcPr>
            <w:tcW w:w="2184"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检测方法</w:t>
            </w:r>
          </w:p>
        </w:tc>
        <w:tc>
          <w:tcPr>
            <w:tcW w:w="1710" w:type="dxa"/>
            <w:gridSpan w:val="2"/>
            <w:tcBorders>
              <w:top w:val="single" w:color="auto" w:sz="4" w:space="0"/>
              <w:left w:val="nil"/>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重要程度或不合格程度分类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8" w:hRule="atLeast"/>
          <w:tblHeader/>
          <w:jc w:val="center"/>
        </w:trPr>
        <w:tc>
          <w:tcPr>
            <w:tcW w:w="70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rPr>
            </w:pPr>
          </w:p>
        </w:tc>
        <w:tc>
          <w:tcPr>
            <w:tcW w:w="1905"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olor w:val="auto"/>
                <w:szCs w:val="21"/>
              </w:rPr>
            </w:pPr>
          </w:p>
        </w:tc>
        <w:tc>
          <w:tcPr>
            <w:tcW w:w="1970"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olor w:val="auto"/>
                <w:szCs w:val="21"/>
              </w:rPr>
            </w:pPr>
          </w:p>
        </w:tc>
        <w:tc>
          <w:tcPr>
            <w:tcW w:w="2184"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olor w:val="auto"/>
                <w:szCs w:val="21"/>
              </w:rPr>
            </w:pPr>
          </w:p>
        </w:tc>
        <w:tc>
          <w:tcPr>
            <w:tcW w:w="840" w:type="dxa"/>
            <w:tcBorders>
              <w:top w:val="single" w:color="auto" w:sz="4" w:space="0"/>
              <w:left w:val="nil"/>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A类a</w:t>
            </w:r>
          </w:p>
        </w:tc>
        <w:tc>
          <w:tcPr>
            <w:tcW w:w="870" w:type="dxa"/>
            <w:tcBorders>
              <w:top w:val="single" w:color="auto" w:sz="4" w:space="0"/>
              <w:left w:val="nil"/>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B类b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8"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1</w:t>
            </w:r>
          </w:p>
        </w:tc>
        <w:tc>
          <w:tcPr>
            <w:tcW w:w="1905" w:type="dxa"/>
            <w:tcBorders>
              <w:top w:val="single" w:color="auto" w:sz="4" w:space="0"/>
              <w:left w:val="nil"/>
              <w:bottom w:val="single" w:color="auto" w:sz="4" w:space="0"/>
              <w:right w:val="single" w:color="auto" w:sz="4" w:space="0"/>
            </w:tcBorders>
          </w:tcPr>
          <w:p>
            <w:pPr>
              <w:jc w:val="center"/>
              <w:rPr>
                <w:rFonts w:ascii="宋体" w:hAnsi="宋体"/>
                <w:color w:val="auto"/>
                <w:szCs w:val="21"/>
              </w:rPr>
            </w:pPr>
            <w:r>
              <w:rPr>
                <w:rFonts w:hint="eastAsia" w:ascii="宋体" w:hAnsi="宋体"/>
                <w:color w:val="auto"/>
                <w:szCs w:val="21"/>
              </w:rPr>
              <w:t>*标识</w:t>
            </w:r>
          </w:p>
        </w:tc>
        <w:tc>
          <w:tcPr>
            <w:tcW w:w="1970" w:type="dxa"/>
            <w:tcBorders>
              <w:top w:val="single" w:color="auto" w:sz="4" w:space="0"/>
              <w:left w:val="nil"/>
              <w:bottom w:val="single" w:color="auto" w:sz="4" w:space="0"/>
              <w:right w:val="single" w:color="auto" w:sz="4" w:space="0"/>
            </w:tcBorders>
          </w:tcPr>
          <w:p>
            <w:pPr>
              <w:jc w:val="center"/>
              <w:rPr>
                <w:rFonts w:ascii="宋体" w:hAnsi="宋体"/>
                <w:color w:val="auto"/>
                <w:szCs w:val="21"/>
              </w:rPr>
            </w:pPr>
            <w:r>
              <w:rPr>
                <w:rFonts w:hint="eastAsia" w:ascii="宋体" w:hAnsi="宋体"/>
                <w:color w:val="auto"/>
                <w:szCs w:val="21"/>
              </w:rPr>
              <w:t>GB/T 35590-2017</w:t>
            </w:r>
          </w:p>
        </w:tc>
        <w:tc>
          <w:tcPr>
            <w:tcW w:w="2184" w:type="dxa"/>
            <w:tcBorders>
              <w:top w:val="single" w:color="auto" w:sz="4" w:space="0"/>
              <w:left w:val="nil"/>
              <w:bottom w:val="single" w:color="auto" w:sz="4" w:space="0"/>
              <w:right w:val="single" w:color="auto" w:sz="4" w:space="0"/>
            </w:tcBorders>
          </w:tcPr>
          <w:p>
            <w:pPr>
              <w:jc w:val="center"/>
              <w:rPr>
                <w:rFonts w:ascii="宋体" w:hAnsi="宋体"/>
                <w:color w:val="auto"/>
                <w:szCs w:val="21"/>
              </w:rPr>
            </w:pPr>
            <w:r>
              <w:rPr>
                <w:rFonts w:hint="eastAsia" w:ascii="宋体" w:hAnsi="宋体"/>
                <w:color w:val="auto"/>
                <w:szCs w:val="21"/>
              </w:rPr>
              <w:t>GB/T 35590-2017</w:t>
            </w:r>
          </w:p>
        </w:tc>
        <w:tc>
          <w:tcPr>
            <w:tcW w:w="840" w:type="dxa"/>
            <w:tcBorders>
              <w:top w:val="single" w:color="auto" w:sz="4" w:space="0"/>
              <w:left w:val="nil"/>
              <w:bottom w:val="single" w:color="auto" w:sz="4" w:space="0"/>
              <w:right w:val="single" w:color="auto" w:sz="4" w:space="0"/>
            </w:tcBorders>
          </w:tcPr>
          <w:p>
            <w:pPr>
              <w:jc w:val="center"/>
              <w:rPr>
                <w:rFonts w:ascii="宋体" w:hAnsi="宋体"/>
                <w:color w:val="auto"/>
                <w:szCs w:val="21"/>
              </w:rPr>
            </w:pPr>
          </w:p>
        </w:tc>
        <w:tc>
          <w:tcPr>
            <w:tcW w:w="870" w:type="dxa"/>
            <w:tcBorders>
              <w:top w:val="single" w:color="auto" w:sz="4" w:space="0"/>
              <w:left w:val="nil"/>
              <w:bottom w:val="single" w:color="auto" w:sz="4" w:space="0"/>
              <w:right w:val="single" w:color="auto" w:sz="4" w:space="0"/>
            </w:tcBorders>
          </w:tcPr>
          <w:p>
            <w:pPr>
              <w:jc w:val="center"/>
              <w:rPr>
                <w:rFonts w:ascii="宋体" w:hAnsi="宋体"/>
                <w:color w:val="auto"/>
                <w:szCs w:val="21"/>
              </w:rPr>
            </w:pPr>
            <w:r>
              <w:rPr>
                <w:rFonts w:hint="eastAsia" w:ascii="宋体" w:hAnsi="宋体"/>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8"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2</w:t>
            </w:r>
          </w:p>
        </w:tc>
        <w:tc>
          <w:tcPr>
            <w:tcW w:w="1905" w:type="dxa"/>
            <w:tcBorders>
              <w:top w:val="single" w:color="auto" w:sz="4" w:space="0"/>
              <w:left w:val="nil"/>
              <w:bottom w:val="single" w:color="auto" w:sz="4" w:space="0"/>
              <w:right w:val="single" w:color="auto" w:sz="4" w:space="0"/>
            </w:tcBorders>
          </w:tcPr>
          <w:p>
            <w:pPr>
              <w:jc w:val="center"/>
              <w:rPr>
                <w:rFonts w:ascii="宋体" w:hAnsi="宋体"/>
                <w:color w:val="auto"/>
                <w:szCs w:val="21"/>
              </w:rPr>
            </w:pPr>
            <w:r>
              <w:rPr>
                <w:rFonts w:hint="eastAsia" w:ascii="宋体" w:hAnsi="宋体"/>
                <w:color w:val="auto"/>
                <w:szCs w:val="21"/>
              </w:rPr>
              <w:t>*常温下的有效输出容量</w:t>
            </w:r>
          </w:p>
        </w:tc>
        <w:tc>
          <w:tcPr>
            <w:tcW w:w="1970" w:type="dxa"/>
            <w:tcBorders>
              <w:top w:val="single" w:color="auto" w:sz="4" w:space="0"/>
              <w:left w:val="nil"/>
              <w:bottom w:val="single" w:color="auto" w:sz="4" w:space="0"/>
              <w:right w:val="single" w:color="auto" w:sz="4" w:space="0"/>
            </w:tcBorders>
          </w:tcPr>
          <w:p>
            <w:pPr>
              <w:jc w:val="center"/>
              <w:rPr>
                <w:rFonts w:ascii="宋体" w:hAnsi="宋体"/>
                <w:color w:val="auto"/>
                <w:szCs w:val="21"/>
              </w:rPr>
            </w:pPr>
            <w:r>
              <w:rPr>
                <w:rFonts w:hint="eastAsia" w:ascii="宋体" w:hAnsi="宋体"/>
                <w:color w:val="auto"/>
                <w:szCs w:val="21"/>
              </w:rPr>
              <w:t>GB/T 35590-2017</w:t>
            </w:r>
          </w:p>
        </w:tc>
        <w:tc>
          <w:tcPr>
            <w:tcW w:w="2184" w:type="dxa"/>
            <w:tcBorders>
              <w:top w:val="single" w:color="auto" w:sz="4" w:space="0"/>
              <w:left w:val="nil"/>
              <w:bottom w:val="single" w:color="auto" w:sz="4" w:space="0"/>
              <w:right w:val="single" w:color="auto" w:sz="4" w:space="0"/>
            </w:tcBorders>
          </w:tcPr>
          <w:p>
            <w:pPr>
              <w:jc w:val="center"/>
              <w:rPr>
                <w:rFonts w:ascii="宋体" w:hAnsi="宋体"/>
                <w:color w:val="auto"/>
                <w:szCs w:val="21"/>
              </w:rPr>
            </w:pPr>
            <w:r>
              <w:rPr>
                <w:rFonts w:hint="eastAsia" w:ascii="宋体" w:hAnsi="宋体"/>
                <w:color w:val="auto"/>
                <w:szCs w:val="21"/>
              </w:rPr>
              <w:t>GB/T 35590-2017</w:t>
            </w:r>
          </w:p>
        </w:tc>
        <w:tc>
          <w:tcPr>
            <w:tcW w:w="840" w:type="dxa"/>
            <w:tcBorders>
              <w:top w:val="single" w:color="auto" w:sz="4" w:space="0"/>
              <w:left w:val="nil"/>
              <w:bottom w:val="single" w:color="auto" w:sz="4" w:space="0"/>
              <w:right w:val="single" w:color="auto" w:sz="4" w:space="0"/>
            </w:tcBorders>
          </w:tcPr>
          <w:p>
            <w:pPr>
              <w:jc w:val="center"/>
              <w:rPr>
                <w:rFonts w:ascii="宋体" w:hAnsi="宋体"/>
                <w:color w:val="auto"/>
                <w:szCs w:val="21"/>
              </w:rPr>
            </w:pPr>
          </w:p>
        </w:tc>
        <w:tc>
          <w:tcPr>
            <w:tcW w:w="870" w:type="dxa"/>
            <w:tcBorders>
              <w:top w:val="single" w:color="auto" w:sz="4" w:space="0"/>
              <w:left w:val="nil"/>
              <w:bottom w:val="single" w:color="auto" w:sz="4" w:space="0"/>
              <w:right w:val="single" w:color="auto" w:sz="4" w:space="0"/>
            </w:tcBorders>
          </w:tcPr>
          <w:p>
            <w:pPr>
              <w:jc w:val="center"/>
              <w:rPr>
                <w:rFonts w:ascii="宋体" w:hAnsi="宋体"/>
                <w:color w:val="auto"/>
                <w:szCs w:val="21"/>
              </w:rPr>
            </w:pPr>
            <w:r>
              <w:rPr>
                <w:rFonts w:hint="eastAsia" w:ascii="宋体" w:hAnsi="宋体"/>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8"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3</w:t>
            </w:r>
          </w:p>
        </w:tc>
        <w:tc>
          <w:tcPr>
            <w:tcW w:w="1905" w:type="dxa"/>
            <w:tcBorders>
              <w:top w:val="single" w:color="auto" w:sz="4" w:space="0"/>
              <w:left w:val="nil"/>
              <w:bottom w:val="single" w:color="auto" w:sz="4" w:space="0"/>
              <w:right w:val="single" w:color="auto" w:sz="4" w:space="0"/>
            </w:tcBorders>
          </w:tcPr>
          <w:p>
            <w:pPr>
              <w:jc w:val="center"/>
              <w:rPr>
                <w:rFonts w:ascii="宋体" w:hAnsi="宋体"/>
                <w:color w:val="auto"/>
                <w:szCs w:val="21"/>
              </w:rPr>
            </w:pPr>
            <w:r>
              <w:rPr>
                <w:rFonts w:hint="eastAsia" w:ascii="宋体" w:hAnsi="宋体"/>
                <w:color w:val="auto"/>
                <w:szCs w:val="21"/>
              </w:rPr>
              <w:t>*转换效率</w:t>
            </w:r>
          </w:p>
        </w:tc>
        <w:tc>
          <w:tcPr>
            <w:tcW w:w="1970" w:type="dxa"/>
            <w:tcBorders>
              <w:top w:val="single" w:color="auto" w:sz="4" w:space="0"/>
              <w:left w:val="nil"/>
              <w:bottom w:val="single" w:color="auto" w:sz="4" w:space="0"/>
              <w:right w:val="single" w:color="auto" w:sz="4" w:space="0"/>
            </w:tcBorders>
          </w:tcPr>
          <w:p>
            <w:pPr>
              <w:jc w:val="center"/>
              <w:rPr>
                <w:rFonts w:ascii="宋体" w:hAnsi="宋体"/>
                <w:color w:val="auto"/>
                <w:szCs w:val="21"/>
              </w:rPr>
            </w:pPr>
            <w:r>
              <w:rPr>
                <w:rFonts w:hint="eastAsia" w:ascii="宋体" w:hAnsi="宋体"/>
                <w:color w:val="auto"/>
                <w:szCs w:val="21"/>
              </w:rPr>
              <w:t>GB/T 35590-2017</w:t>
            </w:r>
          </w:p>
        </w:tc>
        <w:tc>
          <w:tcPr>
            <w:tcW w:w="2184" w:type="dxa"/>
            <w:tcBorders>
              <w:top w:val="single" w:color="auto" w:sz="4" w:space="0"/>
              <w:left w:val="nil"/>
              <w:bottom w:val="single" w:color="auto" w:sz="4" w:space="0"/>
              <w:right w:val="single" w:color="auto" w:sz="4" w:space="0"/>
            </w:tcBorders>
          </w:tcPr>
          <w:p>
            <w:pPr>
              <w:jc w:val="center"/>
              <w:rPr>
                <w:rFonts w:ascii="宋体" w:hAnsi="宋体"/>
                <w:color w:val="auto"/>
                <w:szCs w:val="21"/>
              </w:rPr>
            </w:pPr>
            <w:r>
              <w:rPr>
                <w:rFonts w:hint="eastAsia" w:ascii="宋体" w:hAnsi="宋体"/>
                <w:color w:val="auto"/>
                <w:szCs w:val="21"/>
              </w:rPr>
              <w:t>GB/T 35590-2017</w:t>
            </w:r>
          </w:p>
        </w:tc>
        <w:tc>
          <w:tcPr>
            <w:tcW w:w="840" w:type="dxa"/>
            <w:tcBorders>
              <w:top w:val="single" w:color="auto" w:sz="4" w:space="0"/>
              <w:left w:val="nil"/>
              <w:bottom w:val="single" w:color="auto" w:sz="4" w:space="0"/>
              <w:right w:val="single" w:color="auto" w:sz="4" w:space="0"/>
            </w:tcBorders>
          </w:tcPr>
          <w:p>
            <w:pPr>
              <w:jc w:val="center"/>
              <w:rPr>
                <w:rFonts w:ascii="宋体" w:hAnsi="宋体"/>
                <w:color w:val="auto"/>
                <w:szCs w:val="21"/>
              </w:rPr>
            </w:pPr>
          </w:p>
        </w:tc>
        <w:tc>
          <w:tcPr>
            <w:tcW w:w="870" w:type="dxa"/>
            <w:tcBorders>
              <w:top w:val="single" w:color="auto" w:sz="4" w:space="0"/>
              <w:left w:val="nil"/>
              <w:bottom w:val="single" w:color="auto" w:sz="4" w:space="0"/>
              <w:right w:val="single" w:color="auto" w:sz="4" w:space="0"/>
            </w:tcBorders>
          </w:tcPr>
          <w:p>
            <w:pPr>
              <w:jc w:val="center"/>
              <w:rPr>
                <w:rFonts w:ascii="宋体" w:hAnsi="宋体"/>
                <w:color w:val="auto"/>
                <w:szCs w:val="21"/>
              </w:rPr>
            </w:pPr>
            <w:r>
              <w:rPr>
                <w:rFonts w:hint="eastAsia" w:ascii="宋体" w:hAnsi="宋体"/>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8"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4</w:t>
            </w:r>
          </w:p>
        </w:tc>
        <w:tc>
          <w:tcPr>
            <w:tcW w:w="1905" w:type="dxa"/>
            <w:tcBorders>
              <w:top w:val="single" w:color="auto" w:sz="4" w:space="0"/>
              <w:left w:val="nil"/>
              <w:bottom w:val="single" w:color="auto" w:sz="4" w:space="0"/>
              <w:right w:val="single" w:color="auto" w:sz="4" w:space="0"/>
            </w:tcBorders>
          </w:tcPr>
          <w:p>
            <w:pPr>
              <w:jc w:val="center"/>
              <w:rPr>
                <w:rFonts w:ascii="宋体" w:hAnsi="宋体"/>
                <w:color w:val="auto"/>
                <w:szCs w:val="21"/>
              </w:rPr>
            </w:pPr>
            <w:r>
              <w:rPr>
                <w:rFonts w:hint="eastAsia" w:ascii="宋体" w:hAnsi="宋体"/>
                <w:color w:val="auto"/>
                <w:szCs w:val="21"/>
              </w:rPr>
              <w:t>*输出电压</w:t>
            </w:r>
          </w:p>
        </w:tc>
        <w:tc>
          <w:tcPr>
            <w:tcW w:w="1970" w:type="dxa"/>
            <w:tcBorders>
              <w:top w:val="single" w:color="auto" w:sz="4" w:space="0"/>
              <w:left w:val="nil"/>
              <w:bottom w:val="single" w:color="auto" w:sz="4" w:space="0"/>
              <w:right w:val="single" w:color="auto" w:sz="4" w:space="0"/>
            </w:tcBorders>
          </w:tcPr>
          <w:p>
            <w:pPr>
              <w:jc w:val="center"/>
              <w:rPr>
                <w:rFonts w:ascii="宋体" w:hAnsi="宋体"/>
                <w:color w:val="auto"/>
                <w:szCs w:val="21"/>
              </w:rPr>
            </w:pPr>
            <w:r>
              <w:rPr>
                <w:rFonts w:hint="eastAsia" w:ascii="宋体" w:hAnsi="宋体"/>
                <w:color w:val="auto"/>
                <w:szCs w:val="21"/>
              </w:rPr>
              <w:t>GB/T 35590-2017</w:t>
            </w:r>
          </w:p>
        </w:tc>
        <w:tc>
          <w:tcPr>
            <w:tcW w:w="2184" w:type="dxa"/>
            <w:tcBorders>
              <w:top w:val="single" w:color="auto" w:sz="4" w:space="0"/>
              <w:left w:val="nil"/>
              <w:bottom w:val="single" w:color="auto" w:sz="4" w:space="0"/>
              <w:right w:val="single" w:color="auto" w:sz="4" w:space="0"/>
            </w:tcBorders>
          </w:tcPr>
          <w:p>
            <w:pPr>
              <w:jc w:val="center"/>
              <w:rPr>
                <w:rFonts w:ascii="宋体" w:hAnsi="宋体"/>
                <w:color w:val="auto"/>
                <w:szCs w:val="21"/>
              </w:rPr>
            </w:pPr>
            <w:r>
              <w:rPr>
                <w:rFonts w:hint="eastAsia" w:ascii="宋体" w:hAnsi="宋体"/>
                <w:color w:val="auto"/>
                <w:szCs w:val="21"/>
              </w:rPr>
              <w:t>GB/T 35590-2017</w:t>
            </w:r>
          </w:p>
        </w:tc>
        <w:tc>
          <w:tcPr>
            <w:tcW w:w="840" w:type="dxa"/>
            <w:tcBorders>
              <w:top w:val="single" w:color="auto" w:sz="4" w:space="0"/>
              <w:left w:val="nil"/>
              <w:bottom w:val="single" w:color="auto" w:sz="4" w:space="0"/>
              <w:right w:val="single" w:color="auto" w:sz="4" w:space="0"/>
            </w:tcBorders>
          </w:tcPr>
          <w:p>
            <w:pPr>
              <w:jc w:val="center"/>
              <w:rPr>
                <w:rFonts w:ascii="宋体" w:hAnsi="宋体"/>
                <w:color w:val="auto"/>
                <w:szCs w:val="21"/>
              </w:rPr>
            </w:pPr>
          </w:p>
        </w:tc>
        <w:tc>
          <w:tcPr>
            <w:tcW w:w="870" w:type="dxa"/>
            <w:tcBorders>
              <w:top w:val="single" w:color="auto" w:sz="4" w:space="0"/>
              <w:left w:val="nil"/>
              <w:bottom w:val="single" w:color="auto" w:sz="4" w:space="0"/>
              <w:right w:val="single" w:color="auto" w:sz="4" w:space="0"/>
            </w:tcBorders>
          </w:tcPr>
          <w:p>
            <w:pPr>
              <w:jc w:val="center"/>
              <w:rPr>
                <w:rFonts w:ascii="宋体" w:hAnsi="宋体"/>
                <w:color w:val="auto"/>
                <w:szCs w:val="21"/>
              </w:rPr>
            </w:pPr>
            <w:r>
              <w:rPr>
                <w:rFonts w:hint="eastAsia" w:ascii="宋体" w:hAnsi="宋体"/>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8"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5</w:t>
            </w:r>
          </w:p>
        </w:tc>
        <w:tc>
          <w:tcPr>
            <w:tcW w:w="1905" w:type="dxa"/>
            <w:tcBorders>
              <w:top w:val="single" w:color="auto" w:sz="4" w:space="0"/>
              <w:left w:val="nil"/>
              <w:bottom w:val="single" w:color="auto" w:sz="4" w:space="0"/>
              <w:right w:val="single" w:color="auto" w:sz="4" w:space="0"/>
            </w:tcBorders>
          </w:tcPr>
          <w:p>
            <w:pPr>
              <w:jc w:val="center"/>
              <w:rPr>
                <w:rFonts w:ascii="宋体" w:hAnsi="宋体"/>
                <w:color w:val="auto"/>
                <w:szCs w:val="21"/>
              </w:rPr>
            </w:pPr>
            <w:r>
              <w:rPr>
                <w:rFonts w:hint="eastAsia" w:ascii="宋体" w:hAnsi="宋体"/>
                <w:color w:val="auto"/>
                <w:szCs w:val="21"/>
              </w:rPr>
              <w:t>*过充电保护</w:t>
            </w:r>
          </w:p>
        </w:tc>
        <w:tc>
          <w:tcPr>
            <w:tcW w:w="1970" w:type="dxa"/>
            <w:tcBorders>
              <w:top w:val="single" w:color="auto" w:sz="4" w:space="0"/>
              <w:left w:val="nil"/>
              <w:bottom w:val="single" w:color="auto" w:sz="4" w:space="0"/>
              <w:right w:val="single" w:color="auto" w:sz="4" w:space="0"/>
            </w:tcBorders>
          </w:tcPr>
          <w:p>
            <w:pPr>
              <w:jc w:val="center"/>
              <w:rPr>
                <w:rFonts w:ascii="宋体" w:hAnsi="宋体"/>
                <w:color w:val="auto"/>
                <w:szCs w:val="21"/>
              </w:rPr>
            </w:pPr>
            <w:r>
              <w:rPr>
                <w:rFonts w:hint="eastAsia" w:ascii="宋体" w:hAnsi="宋体"/>
                <w:color w:val="auto"/>
                <w:szCs w:val="21"/>
              </w:rPr>
              <w:t>GB/T 35590-2017</w:t>
            </w:r>
          </w:p>
        </w:tc>
        <w:tc>
          <w:tcPr>
            <w:tcW w:w="2184" w:type="dxa"/>
            <w:tcBorders>
              <w:top w:val="single" w:color="auto" w:sz="4" w:space="0"/>
              <w:left w:val="nil"/>
              <w:bottom w:val="single" w:color="auto" w:sz="4" w:space="0"/>
              <w:right w:val="single" w:color="auto" w:sz="4" w:space="0"/>
            </w:tcBorders>
          </w:tcPr>
          <w:p>
            <w:pPr>
              <w:jc w:val="center"/>
              <w:rPr>
                <w:rFonts w:ascii="宋体" w:hAnsi="宋体"/>
                <w:color w:val="auto"/>
                <w:szCs w:val="21"/>
              </w:rPr>
            </w:pPr>
            <w:r>
              <w:rPr>
                <w:rFonts w:hint="eastAsia" w:ascii="宋体" w:hAnsi="宋体"/>
                <w:color w:val="auto"/>
                <w:szCs w:val="21"/>
              </w:rPr>
              <w:t>GB/T 35590-2017</w:t>
            </w:r>
          </w:p>
        </w:tc>
        <w:tc>
          <w:tcPr>
            <w:tcW w:w="840" w:type="dxa"/>
            <w:tcBorders>
              <w:top w:val="single" w:color="auto" w:sz="4" w:space="0"/>
              <w:left w:val="nil"/>
              <w:bottom w:val="single" w:color="auto" w:sz="4" w:space="0"/>
              <w:right w:val="single" w:color="auto" w:sz="4" w:space="0"/>
            </w:tcBorders>
          </w:tcPr>
          <w:p>
            <w:pPr>
              <w:jc w:val="center"/>
              <w:rPr>
                <w:rFonts w:ascii="宋体" w:hAnsi="宋体"/>
                <w:color w:val="auto"/>
                <w:szCs w:val="21"/>
              </w:rPr>
            </w:pPr>
          </w:p>
        </w:tc>
        <w:tc>
          <w:tcPr>
            <w:tcW w:w="870" w:type="dxa"/>
            <w:tcBorders>
              <w:top w:val="single" w:color="auto" w:sz="4" w:space="0"/>
              <w:left w:val="nil"/>
              <w:bottom w:val="single" w:color="auto" w:sz="4" w:space="0"/>
              <w:right w:val="single" w:color="auto" w:sz="4" w:space="0"/>
            </w:tcBorders>
          </w:tcPr>
          <w:p>
            <w:pPr>
              <w:jc w:val="center"/>
              <w:rPr>
                <w:rFonts w:ascii="宋体" w:hAnsi="宋体"/>
                <w:color w:val="auto"/>
                <w:szCs w:val="21"/>
              </w:rPr>
            </w:pPr>
            <w:r>
              <w:rPr>
                <w:rFonts w:hint="eastAsia" w:ascii="宋体" w:hAnsi="宋体"/>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8"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6</w:t>
            </w:r>
          </w:p>
        </w:tc>
        <w:tc>
          <w:tcPr>
            <w:tcW w:w="1905" w:type="dxa"/>
            <w:tcBorders>
              <w:top w:val="single" w:color="auto" w:sz="4" w:space="0"/>
              <w:left w:val="nil"/>
              <w:bottom w:val="single" w:color="auto" w:sz="4" w:space="0"/>
              <w:right w:val="single" w:color="auto" w:sz="4" w:space="0"/>
            </w:tcBorders>
          </w:tcPr>
          <w:p>
            <w:pPr>
              <w:jc w:val="center"/>
              <w:rPr>
                <w:rFonts w:ascii="宋体" w:hAnsi="宋体"/>
                <w:color w:val="auto"/>
                <w:szCs w:val="21"/>
              </w:rPr>
            </w:pPr>
            <w:r>
              <w:rPr>
                <w:rFonts w:hint="eastAsia" w:ascii="宋体" w:hAnsi="宋体"/>
                <w:color w:val="auto"/>
                <w:szCs w:val="21"/>
              </w:rPr>
              <w:t>*短路保护</w:t>
            </w:r>
          </w:p>
        </w:tc>
        <w:tc>
          <w:tcPr>
            <w:tcW w:w="1970" w:type="dxa"/>
            <w:tcBorders>
              <w:top w:val="single" w:color="auto" w:sz="4" w:space="0"/>
              <w:left w:val="nil"/>
              <w:bottom w:val="single" w:color="auto" w:sz="4" w:space="0"/>
              <w:right w:val="single" w:color="auto" w:sz="4" w:space="0"/>
            </w:tcBorders>
          </w:tcPr>
          <w:p>
            <w:pPr>
              <w:jc w:val="center"/>
              <w:rPr>
                <w:rFonts w:ascii="宋体" w:hAnsi="宋体"/>
                <w:color w:val="auto"/>
                <w:szCs w:val="21"/>
              </w:rPr>
            </w:pPr>
            <w:r>
              <w:rPr>
                <w:rFonts w:hint="eastAsia" w:ascii="宋体" w:hAnsi="宋体"/>
                <w:color w:val="auto"/>
                <w:szCs w:val="21"/>
              </w:rPr>
              <w:t>GB/T 35590-2017</w:t>
            </w:r>
          </w:p>
        </w:tc>
        <w:tc>
          <w:tcPr>
            <w:tcW w:w="2184" w:type="dxa"/>
            <w:tcBorders>
              <w:top w:val="single" w:color="auto" w:sz="4" w:space="0"/>
              <w:left w:val="nil"/>
              <w:bottom w:val="single" w:color="auto" w:sz="4" w:space="0"/>
              <w:right w:val="single" w:color="auto" w:sz="4" w:space="0"/>
            </w:tcBorders>
          </w:tcPr>
          <w:p>
            <w:pPr>
              <w:jc w:val="center"/>
              <w:rPr>
                <w:rFonts w:ascii="宋体" w:hAnsi="宋体"/>
                <w:color w:val="auto"/>
                <w:szCs w:val="21"/>
              </w:rPr>
            </w:pPr>
            <w:r>
              <w:rPr>
                <w:rFonts w:hint="eastAsia" w:ascii="宋体" w:hAnsi="宋体"/>
                <w:color w:val="auto"/>
                <w:szCs w:val="21"/>
              </w:rPr>
              <w:t>GB/T 35590-2017</w:t>
            </w:r>
          </w:p>
        </w:tc>
        <w:tc>
          <w:tcPr>
            <w:tcW w:w="840" w:type="dxa"/>
            <w:tcBorders>
              <w:top w:val="single" w:color="auto" w:sz="4" w:space="0"/>
              <w:left w:val="nil"/>
              <w:bottom w:val="single" w:color="auto" w:sz="4" w:space="0"/>
              <w:right w:val="single" w:color="auto" w:sz="4" w:space="0"/>
            </w:tcBorders>
          </w:tcPr>
          <w:p>
            <w:pPr>
              <w:jc w:val="center"/>
              <w:rPr>
                <w:rFonts w:ascii="宋体" w:hAnsi="宋体"/>
                <w:color w:val="auto"/>
                <w:szCs w:val="21"/>
              </w:rPr>
            </w:pPr>
          </w:p>
        </w:tc>
        <w:tc>
          <w:tcPr>
            <w:tcW w:w="870" w:type="dxa"/>
            <w:tcBorders>
              <w:top w:val="single" w:color="auto" w:sz="4" w:space="0"/>
              <w:left w:val="nil"/>
              <w:bottom w:val="single" w:color="auto" w:sz="4" w:space="0"/>
              <w:right w:val="single" w:color="auto" w:sz="4" w:space="0"/>
            </w:tcBorders>
          </w:tcPr>
          <w:p>
            <w:pPr>
              <w:jc w:val="center"/>
              <w:rPr>
                <w:rFonts w:ascii="宋体" w:hAnsi="宋体"/>
                <w:color w:val="auto"/>
                <w:szCs w:val="21"/>
              </w:rPr>
            </w:pPr>
            <w:r>
              <w:rPr>
                <w:rFonts w:hint="eastAsia" w:ascii="宋体" w:hAnsi="宋体"/>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8"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7</w:t>
            </w:r>
          </w:p>
        </w:tc>
        <w:tc>
          <w:tcPr>
            <w:tcW w:w="1905" w:type="dxa"/>
            <w:tcBorders>
              <w:top w:val="single" w:color="auto" w:sz="4" w:space="0"/>
              <w:left w:val="nil"/>
              <w:bottom w:val="single" w:color="auto" w:sz="4" w:space="0"/>
              <w:right w:val="single" w:color="auto" w:sz="4" w:space="0"/>
            </w:tcBorders>
          </w:tcPr>
          <w:p>
            <w:pPr>
              <w:jc w:val="center"/>
              <w:rPr>
                <w:rFonts w:ascii="宋体" w:hAnsi="宋体"/>
                <w:color w:val="auto"/>
                <w:szCs w:val="21"/>
              </w:rPr>
            </w:pPr>
            <w:r>
              <w:rPr>
                <w:rFonts w:hint="eastAsia" w:ascii="宋体" w:hAnsi="宋体"/>
                <w:color w:val="auto"/>
                <w:szCs w:val="21"/>
              </w:rPr>
              <w:t>*自由跌落</w:t>
            </w:r>
          </w:p>
        </w:tc>
        <w:tc>
          <w:tcPr>
            <w:tcW w:w="1970" w:type="dxa"/>
            <w:tcBorders>
              <w:top w:val="single" w:color="auto" w:sz="4" w:space="0"/>
              <w:left w:val="nil"/>
              <w:bottom w:val="single" w:color="auto" w:sz="4" w:space="0"/>
              <w:right w:val="single" w:color="auto" w:sz="4" w:space="0"/>
            </w:tcBorders>
          </w:tcPr>
          <w:p>
            <w:pPr>
              <w:jc w:val="center"/>
              <w:rPr>
                <w:rFonts w:ascii="宋体" w:hAnsi="宋体"/>
                <w:color w:val="auto"/>
                <w:szCs w:val="21"/>
              </w:rPr>
            </w:pPr>
            <w:r>
              <w:rPr>
                <w:rFonts w:hint="eastAsia" w:ascii="宋体" w:hAnsi="宋体"/>
                <w:color w:val="auto"/>
                <w:szCs w:val="21"/>
              </w:rPr>
              <w:t>GB/T 35590-2017</w:t>
            </w:r>
          </w:p>
        </w:tc>
        <w:tc>
          <w:tcPr>
            <w:tcW w:w="2184" w:type="dxa"/>
            <w:tcBorders>
              <w:top w:val="single" w:color="auto" w:sz="4" w:space="0"/>
              <w:left w:val="nil"/>
              <w:bottom w:val="single" w:color="auto" w:sz="4" w:space="0"/>
              <w:right w:val="single" w:color="auto" w:sz="4" w:space="0"/>
            </w:tcBorders>
          </w:tcPr>
          <w:p>
            <w:pPr>
              <w:jc w:val="center"/>
              <w:rPr>
                <w:rFonts w:ascii="宋体" w:hAnsi="宋体"/>
                <w:color w:val="auto"/>
                <w:szCs w:val="21"/>
              </w:rPr>
            </w:pPr>
            <w:r>
              <w:rPr>
                <w:rFonts w:hint="eastAsia" w:ascii="宋体" w:hAnsi="宋体"/>
                <w:color w:val="auto"/>
                <w:szCs w:val="21"/>
              </w:rPr>
              <w:t>GB/T 35590-2017</w:t>
            </w:r>
          </w:p>
        </w:tc>
        <w:tc>
          <w:tcPr>
            <w:tcW w:w="840" w:type="dxa"/>
            <w:tcBorders>
              <w:top w:val="single" w:color="auto" w:sz="4" w:space="0"/>
              <w:left w:val="nil"/>
              <w:bottom w:val="single" w:color="auto" w:sz="4" w:space="0"/>
              <w:right w:val="single" w:color="auto" w:sz="4" w:space="0"/>
            </w:tcBorders>
          </w:tcPr>
          <w:p>
            <w:pPr>
              <w:jc w:val="center"/>
              <w:rPr>
                <w:rFonts w:ascii="宋体" w:hAnsi="宋体"/>
                <w:color w:val="auto"/>
                <w:szCs w:val="21"/>
              </w:rPr>
            </w:pPr>
          </w:p>
        </w:tc>
        <w:tc>
          <w:tcPr>
            <w:tcW w:w="870" w:type="dxa"/>
            <w:tcBorders>
              <w:top w:val="single" w:color="auto" w:sz="4" w:space="0"/>
              <w:left w:val="nil"/>
              <w:bottom w:val="single" w:color="auto" w:sz="4" w:space="0"/>
              <w:right w:val="single" w:color="auto" w:sz="4" w:space="0"/>
            </w:tcBorders>
          </w:tcPr>
          <w:p>
            <w:pPr>
              <w:jc w:val="center"/>
              <w:rPr>
                <w:rFonts w:ascii="宋体" w:hAnsi="宋体"/>
                <w:color w:val="auto"/>
                <w:szCs w:val="21"/>
              </w:rPr>
            </w:pPr>
            <w:r>
              <w:rPr>
                <w:rFonts w:hint="eastAsia" w:ascii="宋体" w:hAnsi="宋体"/>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8"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8</w:t>
            </w:r>
          </w:p>
        </w:tc>
        <w:tc>
          <w:tcPr>
            <w:tcW w:w="1905" w:type="dxa"/>
            <w:tcBorders>
              <w:top w:val="single" w:color="auto" w:sz="4" w:space="0"/>
              <w:left w:val="nil"/>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常温外部短路c</w:t>
            </w:r>
          </w:p>
        </w:tc>
        <w:tc>
          <w:tcPr>
            <w:tcW w:w="1970" w:type="dxa"/>
            <w:tcBorders>
              <w:top w:val="single" w:color="auto" w:sz="4" w:space="0"/>
              <w:left w:val="nil"/>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GB 31241-2014</w:t>
            </w:r>
          </w:p>
        </w:tc>
        <w:tc>
          <w:tcPr>
            <w:tcW w:w="2184" w:type="dxa"/>
            <w:tcBorders>
              <w:top w:val="single" w:color="auto" w:sz="4" w:space="0"/>
              <w:left w:val="nil"/>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GB 31241-2014</w:t>
            </w:r>
          </w:p>
        </w:tc>
        <w:tc>
          <w:tcPr>
            <w:tcW w:w="840" w:type="dxa"/>
            <w:tcBorders>
              <w:top w:val="single" w:color="auto" w:sz="4" w:space="0"/>
              <w:left w:val="nil"/>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w:t>
            </w:r>
          </w:p>
        </w:tc>
        <w:tc>
          <w:tcPr>
            <w:tcW w:w="870" w:type="dxa"/>
            <w:tcBorders>
              <w:top w:val="single" w:color="auto" w:sz="4" w:space="0"/>
              <w:left w:val="nil"/>
              <w:bottom w:val="single" w:color="auto" w:sz="4" w:space="0"/>
              <w:right w:val="single" w:color="auto" w:sz="4" w:space="0"/>
            </w:tcBorders>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8"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9</w:t>
            </w:r>
          </w:p>
        </w:tc>
        <w:tc>
          <w:tcPr>
            <w:tcW w:w="1905" w:type="dxa"/>
            <w:tcBorders>
              <w:top w:val="single" w:color="auto" w:sz="4" w:space="0"/>
              <w:left w:val="nil"/>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过充电c</w:t>
            </w:r>
          </w:p>
        </w:tc>
        <w:tc>
          <w:tcPr>
            <w:tcW w:w="1970" w:type="dxa"/>
            <w:tcBorders>
              <w:top w:val="single" w:color="auto" w:sz="4" w:space="0"/>
              <w:left w:val="nil"/>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GB 31241-2014</w:t>
            </w:r>
          </w:p>
        </w:tc>
        <w:tc>
          <w:tcPr>
            <w:tcW w:w="2184" w:type="dxa"/>
            <w:tcBorders>
              <w:top w:val="single" w:color="auto" w:sz="4" w:space="0"/>
              <w:left w:val="nil"/>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GB 31241-2014</w:t>
            </w:r>
          </w:p>
        </w:tc>
        <w:tc>
          <w:tcPr>
            <w:tcW w:w="840" w:type="dxa"/>
            <w:tcBorders>
              <w:top w:val="single" w:color="auto" w:sz="4" w:space="0"/>
              <w:left w:val="nil"/>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w:t>
            </w:r>
          </w:p>
        </w:tc>
        <w:tc>
          <w:tcPr>
            <w:tcW w:w="870" w:type="dxa"/>
            <w:tcBorders>
              <w:top w:val="single" w:color="auto" w:sz="4" w:space="0"/>
              <w:left w:val="nil"/>
              <w:bottom w:val="single" w:color="auto" w:sz="4" w:space="0"/>
              <w:right w:val="single" w:color="auto" w:sz="4" w:space="0"/>
            </w:tcBorders>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8"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10</w:t>
            </w:r>
          </w:p>
        </w:tc>
        <w:tc>
          <w:tcPr>
            <w:tcW w:w="1905" w:type="dxa"/>
            <w:tcBorders>
              <w:top w:val="single" w:color="auto" w:sz="4" w:space="0"/>
              <w:left w:val="nil"/>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重物冲击c, d</w:t>
            </w:r>
          </w:p>
        </w:tc>
        <w:tc>
          <w:tcPr>
            <w:tcW w:w="1970" w:type="dxa"/>
            <w:tcBorders>
              <w:top w:val="single" w:color="auto" w:sz="4" w:space="0"/>
              <w:left w:val="nil"/>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GB 31241-2014</w:t>
            </w:r>
          </w:p>
        </w:tc>
        <w:tc>
          <w:tcPr>
            <w:tcW w:w="2184" w:type="dxa"/>
            <w:tcBorders>
              <w:top w:val="single" w:color="auto" w:sz="4" w:space="0"/>
              <w:left w:val="nil"/>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GB 31241-2014</w:t>
            </w:r>
          </w:p>
        </w:tc>
        <w:tc>
          <w:tcPr>
            <w:tcW w:w="840" w:type="dxa"/>
            <w:tcBorders>
              <w:top w:val="single" w:color="auto" w:sz="4" w:space="0"/>
              <w:left w:val="nil"/>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w:t>
            </w:r>
          </w:p>
        </w:tc>
        <w:tc>
          <w:tcPr>
            <w:tcW w:w="870" w:type="dxa"/>
            <w:tcBorders>
              <w:top w:val="single" w:color="auto" w:sz="4" w:space="0"/>
              <w:left w:val="nil"/>
              <w:bottom w:val="single" w:color="auto" w:sz="4" w:space="0"/>
              <w:right w:val="single" w:color="auto" w:sz="4" w:space="0"/>
            </w:tcBorders>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8"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11</w:t>
            </w:r>
          </w:p>
        </w:tc>
        <w:tc>
          <w:tcPr>
            <w:tcW w:w="1905" w:type="dxa"/>
            <w:tcBorders>
              <w:top w:val="single" w:color="auto" w:sz="4" w:space="0"/>
              <w:left w:val="nil"/>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热滥用c</w:t>
            </w:r>
          </w:p>
        </w:tc>
        <w:tc>
          <w:tcPr>
            <w:tcW w:w="1970" w:type="dxa"/>
            <w:tcBorders>
              <w:top w:val="single" w:color="auto" w:sz="4" w:space="0"/>
              <w:left w:val="nil"/>
              <w:bottom w:val="single" w:color="auto" w:sz="4" w:space="0"/>
              <w:right w:val="single" w:color="auto" w:sz="4" w:space="0"/>
            </w:tcBorders>
          </w:tcPr>
          <w:p>
            <w:pPr>
              <w:jc w:val="center"/>
              <w:rPr>
                <w:rFonts w:ascii="宋体" w:hAnsi="宋体"/>
                <w:color w:val="auto"/>
                <w:szCs w:val="21"/>
              </w:rPr>
            </w:pPr>
            <w:r>
              <w:rPr>
                <w:rFonts w:hint="eastAsia" w:ascii="宋体" w:hAnsi="宋体"/>
                <w:color w:val="auto"/>
                <w:szCs w:val="21"/>
              </w:rPr>
              <w:t>GB 31241-2014</w:t>
            </w:r>
          </w:p>
        </w:tc>
        <w:tc>
          <w:tcPr>
            <w:tcW w:w="2184" w:type="dxa"/>
            <w:tcBorders>
              <w:top w:val="single" w:color="auto" w:sz="4" w:space="0"/>
              <w:left w:val="nil"/>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GB 31241-2014</w:t>
            </w:r>
          </w:p>
        </w:tc>
        <w:tc>
          <w:tcPr>
            <w:tcW w:w="840" w:type="dxa"/>
            <w:tcBorders>
              <w:top w:val="single" w:color="auto" w:sz="4" w:space="0"/>
              <w:left w:val="nil"/>
              <w:bottom w:val="single" w:color="auto" w:sz="4" w:space="0"/>
              <w:right w:val="single" w:color="auto" w:sz="4" w:space="0"/>
            </w:tcBorders>
            <w:vAlign w:val="center"/>
          </w:tcPr>
          <w:p>
            <w:pPr>
              <w:jc w:val="center"/>
              <w:rPr>
                <w:rFonts w:ascii="宋体" w:hAnsi="宋体"/>
                <w:color w:val="auto"/>
                <w:szCs w:val="21"/>
              </w:rPr>
            </w:pPr>
            <w:r>
              <w:rPr>
                <w:rFonts w:hint="eastAsia" w:ascii="宋体" w:hAnsi="宋体"/>
                <w:color w:val="auto"/>
                <w:szCs w:val="21"/>
              </w:rPr>
              <w:t>●</w:t>
            </w:r>
          </w:p>
        </w:tc>
        <w:tc>
          <w:tcPr>
            <w:tcW w:w="870" w:type="dxa"/>
            <w:tcBorders>
              <w:top w:val="single" w:color="auto" w:sz="4" w:space="0"/>
              <w:left w:val="nil"/>
              <w:bottom w:val="single" w:color="auto" w:sz="4" w:space="0"/>
              <w:right w:val="single" w:color="auto" w:sz="4" w:space="0"/>
            </w:tcBorders>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41" w:hRule="atLeast"/>
          <w:jc w:val="center"/>
        </w:trPr>
        <w:tc>
          <w:tcPr>
            <w:tcW w:w="8474" w:type="dxa"/>
            <w:gridSpan w:val="6"/>
            <w:tcBorders>
              <w:top w:val="single" w:color="auto" w:sz="4" w:space="0"/>
              <w:left w:val="single" w:color="auto" w:sz="4" w:space="0"/>
              <w:bottom w:val="single" w:color="auto" w:sz="4" w:space="0"/>
              <w:right w:val="single" w:color="auto" w:sz="4" w:space="0"/>
            </w:tcBorders>
            <w:vAlign w:val="center"/>
          </w:tcPr>
          <w:p>
            <w:pPr>
              <w:jc w:val="left"/>
              <w:rPr>
                <w:rFonts w:ascii="宋体" w:hAnsi="宋体"/>
                <w:color w:val="auto"/>
                <w:szCs w:val="21"/>
              </w:rPr>
            </w:pPr>
            <w:r>
              <w:rPr>
                <w:rFonts w:hint="eastAsia" w:ascii="宋体" w:hAnsi="宋体"/>
                <w:color w:val="auto"/>
                <w:szCs w:val="21"/>
              </w:rPr>
              <w:t xml:space="preserve">注： </w:t>
            </w:r>
          </w:p>
          <w:p>
            <w:pPr>
              <w:jc w:val="left"/>
              <w:rPr>
                <w:rFonts w:ascii="宋体" w:hAnsi="宋体"/>
                <w:color w:val="auto"/>
                <w:szCs w:val="21"/>
              </w:rPr>
            </w:pPr>
            <w:r>
              <w:rPr>
                <w:rFonts w:hint="eastAsia" w:ascii="宋体" w:hAnsi="宋体"/>
                <w:color w:val="auto"/>
                <w:szCs w:val="21"/>
              </w:rPr>
              <w:t>①a极重要质量项目。</w:t>
            </w:r>
          </w:p>
          <w:p>
            <w:pPr>
              <w:jc w:val="left"/>
              <w:rPr>
                <w:rFonts w:ascii="宋体" w:hAnsi="宋体"/>
                <w:color w:val="auto"/>
                <w:szCs w:val="21"/>
              </w:rPr>
            </w:pPr>
            <w:r>
              <w:rPr>
                <w:rFonts w:hint="eastAsia" w:ascii="宋体" w:hAnsi="宋体"/>
                <w:color w:val="auto"/>
                <w:szCs w:val="21"/>
              </w:rPr>
              <w:t>②b重要质量项目。</w:t>
            </w:r>
          </w:p>
          <w:p>
            <w:pPr>
              <w:jc w:val="left"/>
              <w:rPr>
                <w:rFonts w:ascii="宋体" w:hAnsi="宋体"/>
                <w:color w:val="auto"/>
                <w:szCs w:val="21"/>
              </w:rPr>
            </w:pPr>
            <w:r>
              <w:rPr>
                <w:rFonts w:hint="eastAsia" w:ascii="宋体" w:hAnsi="宋体"/>
                <w:color w:val="auto"/>
                <w:szCs w:val="21"/>
              </w:rPr>
              <w:t>③c 适用于锂离子电池,参照GB 31241中4.7.4条对样品进行预处理。</w:t>
            </w:r>
          </w:p>
          <w:p>
            <w:pPr>
              <w:jc w:val="left"/>
              <w:rPr>
                <w:rFonts w:ascii="宋体" w:hAnsi="宋体"/>
                <w:color w:val="auto"/>
                <w:szCs w:val="21"/>
              </w:rPr>
            </w:pPr>
            <w:r>
              <w:rPr>
                <w:rFonts w:hint="eastAsia" w:ascii="宋体" w:hAnsi="宋体"/>
                <w:color w:val="auto"/>
                <w:szCs w:val="21"/>
              </w:rPr>
              <w:t>④d 不适用于软包装电池。</w:t>
            </w:r>
          </w:p>
          <w:p>
            <w:pPr>
              <w:jc w:val="left"/>
              <w:rPr>
                <w:rFonts w:ascii="宋体" w:hAnsi="宋体"/>
                <w:color w:val="auto"/>
                <w:szCs w:val="21"/>
              </w:rPr>
            </w:pPr>
            <w:r>
              <w:rPr>
                <w:rFonts w:hint="eastAsia" w:ascii="宋体" w:hAnsi="宋体"/>
                <w:color w:val="auto"/>
                <w:szCs w:val="21"/>
              </w:rPr>
              <w:t>⑤标注“*”的项目仅适用于标注执行标准为GB/T 35590-2017的移动电源。</w:t>
            </w:r>
          </w:p>
        </w:tc>
      </w:tr>
    </w:tbl>
    <w:p>
      <w:pPr>
        <w:spacing w:line="400" w:lineRule="exact"/>
        <w:rPr>
          <w:rFonts w:ascii="宋体" w:hAnsi="宋体" w:cs="宋体"/>
          <w:color w:val="auto"/>
          <w:szCs w:val="21"/>
        </w:rPr>
      </w:pPr>
      <w:r>
        <w:rPr>
          <w:rFonts w:hint="eastAsia" w:ascii="宋体" w:hAnsi="宋体" w:cs="宋体"/>
          <w:color w:val="auto"/>
          <w:szCs w:val="21"/>
        </w:rPr>
        <w:t>注：①极重要质量项目是指直接涉及人体健康、使用安全的指标；重要质量项目是指产品涉及环保、能效、关键性能或特征值的指标。</w:t>
      </w:r>
    </w:p>
    <w:p>
      <w:pPr>
        <w:spacing w:line="400" w:lineRule="exact"/>
        <w:rPr>
          <w:rFonts w:ascii="宋体" w:hAnsi="宋体" w:cs="宋体"/>
          <w:color w:val="auto"/>
          <w:szCs w:val="21"/>
        </w:rPr>
      </w:pPr>
      <w:r>
        <w:rPr>
          <w:rFonts w:hint="eastAsia" w:ascii="宋体" w:hAnsi="宋体" w:cs="宋体"/>
          <w:color w:val="auto"/>
          <w:szCs w:val="21"/>
        </w:rPr>
        <w:t>②上表所列检验项目是有关法律法规、标准等规定的，重点涉及健康、安全、节能、环保以及消费者、有关组织反应有质量问题的重要项目。</w:t>
      </w:r>
    </w:p>
    <w:p>
      <w:pPr>
        <w:spacing w:line="400" w:lineRule="exact"/>
        <w:rPr>
          <w:rFonts w:ascii="宋体" w:hAnsi="宋体" w:cs="宋体"/>
          <w:color w:val="auto"/>
          <w:szCs w:val="21"/>
        </w:rPr>
      </w:pPr>
      <w:r>
        <w:rPr>
          <w:rFonts w:hint="eastAsia" w:ascii="宋体" w:hAnsi="宋体" w:cs="宋体"/>
          <w:color w:val="auto"/>
          <w:szCs w:val="21"/>
        </w:rPr>
        <w:t>7.2检验应注意的问题</w:t>
      </w:r>
    </w:p>
    <w:p>
      <w:pPr>
        <w:spacing w:line="400" w:lineRule="exact"/>
        <w:rPr>
          <w:rFonts w:ascii="宋体" w:hAnsi="宋体" w:cs="宋体"/>
          <w:color w:val="auto"/>
          <w:szCs w:val="21"/>
        </w:rPr>
      </w:pPr>
      <w:r>
        <w:rPr>
          <w:rFonts w:hint="eastAsia" w:ascii="宋体" w:hAnsi="宋体" w:cs="宋体"/>
          <w:color w:val="auto"/>
          <w:szCs w:val="21"/>
        </w:rPr>
        <w:t>7.2.1检验机构接收样品应当有专人负责检查、记录样品的外观、状态、封条有无破损及其他可能对检测结果或者综合判定产生影响的情况，并确认样品与抽样单的记录是否相符，对检测和备用样品分别加贴相应标识后入库。备用样品应该贮存在阴凉、干燥、安全、避光处，在整个保存期间应保证签封完整无损。</w:t>
      </w:r>
    </w:p>
    <w:p>
      <w:pPr>
        <w:spacing w:line="400" w:lineRule="exact"/>
        <w:rPr>
          <w:rFonts w:ascii="宋体" w:hAnsi="宋体" w:cs="宋体"/>
          <w:color w:val="auto"/>
          <w:szCs w:val="21"/>
        </w:rPr>
      </w:pPr>
      <w:r>
        <w:rPr>
          <w:rFonts w:hint="eastAsia" w:ascii="宋体" w:hAnsi="宋体" w:cs="宋体"/>
          <w:color w:val="auto"/>
          <w:szCs w:val="21"/>
        </w:rPr>
        <w:t>7.2.2若被检产品明示的质量要求高于本细则中检验项目依据的标准要求时，应按被检产品明示的质量要求判定。</w:t>
      </w:r>
    </w:p>
    <w:p>
      <w:pPr>
        <w:spacing w:line="400" w:lineRule="exact"/>
        <w:ind w:firstLine="420" w:firstLineChars="200"/>
        <w:rPr>
          <w:rFonts w:ascii="宋体" w:hAnsi="宋体" w:cs="宋体"/>
          <w:color w:val="auto"/>
          <w:szCs w:val="21"/>
        </w:rPr>
      </w:pPr>
      <w:r>
        <w:rPr>
          <w:rFonts w:hint="eastAsia" w:ascii="宋体" w:hAnsi="宋体" w:cs="宋体"/>
          <w:color w:val="auto"/>
          <w:szCs w:val="21"/>
        </w:rPr>
        <w:t>若被检产品明示的质量要求低于本细则中检验项目依据的强制性标准要求时，应按照强制性标准要求判定。</w:t>
      </w:r>
    </w:p>
    <w:p>
      <w:pPr>
        <w:spacing w:line="400" w:lineRule="exact"/>
        <w:ind w:firstLine="420" w:firstLineChars="200"/>
        <w:rPr>
          <w:rFonts w:ascii="宋体" w:hAnsi="宋体" w:cs="宋体"/>
          <w:color w:val="auto"/>
          <w:szCs w:val="21"/>
        </w:rPr>
      </w:pPr>
      <w:r>
        <w:rPr>
          <w:rFonts w:hint="eastAsia" w:ascii="宋体" w:hAnsi="宋体" w:cs="宋体"/>
          <w:color w:val="auto"/>
          <w:szCs w:val="21"/>
        </w:rPr>
        <w:t>若被检产品明示的质量要求低于或包含细则中检验项目依据的推荐性标准要求时，应以被检产品明示的质量要求判定。</w:t>
      </w:r>
    </w:p>
    <w:p>
      <w:pPr>
        <w:spacing w:line="400" w:lineRule="exact"/>
        <w:ind w:firstLine="420" w:firstLineChars="200"/>
        <w:rPr>
          <w:rFonts w:ascii="宋体" w:hAnsi="宋体" w:cs="宋体"/>
          <w:color w:val="auto"/>
          <w:szCs w:val="21"/>
        </w:rPr>
      </w:pPr>
      <w:r>
        <w:rPr>
          <w:rFonts w:hint="eastAsia" w:ascii="宋体" w:hAnsi="宋体" w:cs="宋体"/>
          <w:color w:val="auto"/>
          <w:szCs w:val="21"/>
        </w:rPr>
        <w:t>若被检产品明示的质量要求缺少本细则中检验项目依据的强制性标准要求时，应按照强制性标准要求判定。</w:t>
      </w:r>
    </w:p>
    <w:p>
      <w:pPr>
        <w:spacing w:line="400" w:lineRule="exact"/>
        <w:ind w:firstLine="420" w:firstLineChars="200"/>
        <w:rPr>
          <w:rFonts w:ascii="宋体" w:hAnsi="宋体" w:cs="宋体"/>
          <w:color w:val="auto"/>
          <w:szCs w:val="21"/>
        </w:rPr>
      </w:pPr>
      <w:r>
        <w:rPr>
          <w:rFonts w:hint="eastAsia" w:ascii="宋体" w:hAnsi="宋体" w:cs="宋体"/>
          <w:color w:val="auto"/>
          <w:szCs w:val="21"/>
        </w:rPr>
        <w:t>若被检产品明示的质量要求缺少本细则中检验项目依据的推荐性标准要求时，该项目不参与判定，但应在检验报告备注中进行说明。</w:t>
      </w:r>
    </w:p>
    <w:p>
      <w:pPr>
        <w:spacing w:line="360" w:lineRule="auto"/>
        <w:rPr>
          <w:rFonts w:ascii="宋体" w:hAnsi="宋体"/>
          <w:color w:val="auto"/>
          <w:szCs w:val="21"/>
        </w:rPr>
      </w:pPr>
      <w:r>
        <w:rPr>
          <w:rFonts w:ascii="宋体" w:hAnsi="宋体"/>
          <w:color w:val="auto"/>
          <w:szCs w:val="21"/>
        </w:rPr>
        <w:t>7.2.</w:t>
      </w:r>
      <w:r>
        <w:rPr>
          <w:rFonts w:hint="eastAsia" w:ascii="宋体" w:hAnsi="宋体"/>
          <w:color w:val="auto"/>
          <w:szCs w:val="21"/>
        </w:rPr>
        <w:t>3适用时，对样品检验前、检验中、检验后〈尤其是检验后不合格状态〉要记录，特别要对不合格状态进行影像记录。</w:t>
      </w:r>
    </w:p>
    <w:p>
      <w:pPr>
        <w:spacing w:before="156" w:beforeLines="50" w:line="400" w:lineRule="exact"/>
        <w:rPr>
          <w:rFonts w:ascii="宋体" w:hAnsi="宋体" w:cs="宋体"/>
          <w:b/>
          <w:bCs/>
          <w:color w:val="auto"/>
          <w:szCs w:val="21"/>
        </w:rPr>
      </w:pPr>
      <w:r>
        <w:rPr>
          <w:rFonts w:hint="eastAsia" w:ascii="宋体" w:hAnsi="宋体" w:cs="宋体"/>
          <w:b/>
          <w:bCs/>
          <w:color w:val="auto"/>
          <w:szCs w:val="21"/>
        </w:rPr>
        <w:t>8 判定原则</w:t>
      </w:r>
    </w:p>
    <w:p>
      <w:pPr>
        <w:snapToGrid w:val="0"/>
        <w:spacing w:line="440" w:lineRule="exact"/>
        <w:ind w:firstLine="420" w:firstLineChars="200"/>
        <w:rPr>
          <w:rFonts w:ascii="宋体" w:hAnsi="宋体"/>
          <w:color w:val="auto"/>
          <w:szCs w:val="21"/>
        </w:rPr>
      </w:pPr>
      <w:r>
        <w:rPr>
          <w:rFonts w:hint="eastAsia" w:ascii="宋体" w:hAnsi="宋体"/>
          <w:color w:val="auto"/>
          <w:szCs w:val="21"/>
        </w:rPr>
        <w:t>经检验，检验项目全部合格，判定为被抽查产品合格；检验项目中任一项或一项以上不合格，判定为被抽查产品不合格。当产品存在A类项目不合格时，属于严重不合格；当产品仅有B类项目不合格时，属于一般不合格。检验报告结论表述按以下方式进行：</w:t>
      </w:r>
    </w:p>
    <w:p>
      <w:pPr>
        <w:snapToGrid w:val="0"/>
        <w:spacing w:line="440" w:lineRule="exact"/>
        <w:rPr>
          <w:rFonts w:ascii="宋体" w:hAnsi="宋体"/>
          <w:color w:val="auto"/>
          <w:szCs w:val="21"/>
        </w:rPr>
      </w:pPr>
      <w:r>
        <w:rPr>
          <w:rFonts w:hint="eastAsia" w:ascii="宋体" w:hAnsi="宋体"/>
          <w:color w:val="auto"/>
          <w:szCs w:val="21"/>
        </w:rPr>
        <w:t>8.</w:t>
      </w:r>
      <w:r>
        <w:rPr>
          <w:rFonts w:ascii="宋体" w:hAnsi="宋体"/>
          <w:color w:val="auto"/>
          <w:szCs w:val="21"/>
        </w:rPr>
        <w:t>1</w:t>
      </w:r>
      <w:r>
        <w:rPr>
          <w:rFonts w:hint="eastAsia" w:ascii="宋体" w:hAnsi="宋体"/>
          <w:color w:val="auto"/>
          <w:szCs w:val="21"/>
        </w:rPr>
        <w:t>经检验，若被抽产品所有检验项目全部合格，检验报告中的检验结论表述为:“依据桂市监函[xxxx]xx号文中《2020年移动电源产品质量广西监督抽查实施细则》要求，</w:t>
      </w:r>
      <w:r>
        <w:rPr>
          <w:rFonts w:hint="eastAsia" w:ascii="宋体" w:hAnsi="宋体"/>
          <w:color w:val="auto"/>
          <w:szCs w:val="21"/>
        </w:rPr>
        <w:t>对所抽样品的</w:t>
      </w:r>
      <w:r>
        <w:rPr>
          <w:rFonts w:ascii="宋体" w:hAnsi="宋体"/>
          <w:color w:val="auto"/>
          <w:szCs w:val="21"/>
        </w:rPr>
        <w:t>xx</w:t>
      </w:r>
      <w:r>
        <w:rPr>
          <w:rFonts w:hint="eastAsia" w:ascii="宋体" w:hAnsi="宋体"/>
          <w:color w:val="auto"/>
          <w:szCs w:val="21"/>
        </w:rPr>
        <w:t>个项目进行了检验，检验结果符合</w:t>
      </w:r>
      <w:r>
        <w:rPr>
          <w:rFonts w:ascii="宋体" w:hAnsi="宋体"/>
          <w:color w:val="auto"/>
          <w:szCs w:val="21"/>
        </w:rPr>
        <w:t>xx</w:t>
      </w:r>
      <w:r>
        <w:rPr>
          <w:rFonts w:hint="eastAsia" w:ascii="宋体" w:hAnsi="宋体"/>
          <w:color w:val="auto"/>
          <w:szCs w:val="21"/>
        </w:rPr>
        <w:t>标准号《国家标准、行业标准名称》要求。综合判定：该产品本次监督抽查合格。”</w:t>
      </w:r>
    </w:p>
    <w:p>
      <w:pPr>
        <w:widowControl/>
        <w:spacing w:line="440" w:lineRule="exact"/>
        <w:jc w:val="left"/>
        <w:rPr>
          <w:rFonts w:ascii="宋体" w:hAnsi="宋体"/>
          <w:color w:val="auto"/>
          <w:szCs w:val="21"/>
        </w:rPr>
      </w:pPr>
      <w:r>
        <w:rPr>
          <w:rFonts w:hint="eastAsia" w:ascii="宋体" w:hAnsi="宋体"/>
          <w:color w:val="auto"/>
          <w:szCs w:val="21"/>
        </w:rPr>
        <w:t>8.2</w:t>
      </w:r>
      <w:r>
        <w:rPr>
          <w:rFonts w:hint="eastAsia" w:ascii="宋体" w:hAnsi="宋体"/>
          <w:color w:val="auto"/>
          <w:szCs w:val="21"/>
        </w:rPr>
        <w:t>当所检项目有一项或一项以上不符合执行标准要求，检验结论表述为：“依据桂市监函〔xxxx〕</w:t>
      </w:r>
      <w:r>
        <w:rPr>
          <w:rFonts w:ascii="宋体" w:hAnsi="宋体"/>
          <w:color w:val="auto"/>
          <w:szCs w:val="21"/>
        </w:rPr>
        <w:t>xx</w:t>
      </w:r>
      <w:r>
        <w:rPr>
          <w:rFonts w:hint="eastAsia" w:ascii="宋体" w:hAnsi="宋体"/>
          <w:color w:val="auto"/>
          <w:szCs w:val="21"/>
        </w:rPr>
        <w:t>号文中《</w:t>
      </w:r>
      <w:r>
        <w:rPr>
          <w:rFonts w:hint="eastAsia" w:ascii="宋体" w:hAnsi="宋体"/>
          <w:color w:val="auto"/>
          <w:szCs w:val="21"/>
        </w:rPr>
        <w:t>2020年移动电源产品质量广西监督抽查实施细则</w:t>
      </w:r>
      <w:r>
        <w:rPr>
          <w:rFonts w:hint="eastAsia" w:ascii="宋体" w:hAnsi="宋体"/>
          <w:color w:val="auto"/>
          <w:szCs w:val="21"/>
        </w:rPr>
        <w:t>》要求，对所抽样品的</w:t>
      </w:r>
      <w:r>
        <w:rPr>
          <w:rFonts w:ascii="宋体" w:hAnsi="宋体"/>
          <w:color w:val="auto"/>
          <w:szCs w:val="21"/>
        </w:rPr>
        <w:t>xx</w:t>
      </w:r>
      <w:r>
        <w:rPr>
          <w:rFonts w:hint="eastAsia" w:ascii="宋体" w:hAnsi="宋体"/>
          <w:color w:val="auto"/>
          <w:szCs w:val="21"/>
        </w:rPr>
        <w:t>个项目进行了检验，其中</w:t>
      </w:r>
      <w:r>
        <w:rPr>
          <w:rFonts w:ascii="宋体" w:hAnsi="宋体"/>
          <w:color w:val="auto"/>
          <w:szCs w:val="21"/>
        </w:rPr>
        <w:t>xx</w:t>
      </w:r>
      <w:r>
        <w:rPr>
          <w:rFonts w:hint="eastAsia" w:ascii="宋体" w:hAnsi="宋体"/>
          <w:color w:val="auto"/>
          <w:szCs w:val="21"/>
        </w:rPr>
        <w:t>、</w:t>
      </w:r>
      <w:r>
        <w:rPr>
          <w:rFonts w:ascii="宋体" w:hAnsi="宋体"/>
          <w:color w:val="auto"/>
          <w:szCs w:val="21"/>
        </w:rPr>
        <w:t>xx</w:t>
      </w:r>
      <w:r>
        <w:rPr>
          <w:rFonts w:hint="eastAsia" w:ascii="宋体" w:hAnsi="宋体"/>
          <w:color w:val="auto"/>
          <w:szCs w:val="21"/>
        </w:rPr>
        <w:t>项目的检验结果不符合</w:t>
      </w:r>
      <w:r>
        <w:rPr>
          <w:rFonts w:ascii="宋体" w:hAnsi="宋体"/>
          <w:color w:val="auto"/>
          <w:szCs w:val="21"/>
        </w:rPr>
        <w:t>xx</w:t>
      </w:r>
      <w:r>
        <w:rPr>
          <w:rFonts w:hint="eastAsia" w:ascii="宋体" w:hAnsi="宋体"/>
          <w:color w:val="auto"/>
          <w:szCs w:val="21"/>
        </w:rPr>
        <w:t>标准号《国家标准、行业标准名称》要求。综合判定：该产品本次监督抽查不合格（严重</w:t>
      </w:r>
      <w:r>
        <w:rPr>
          <w:rFonts w:ascii="宋体" w:hAnsi="宋体"/>
          <w:color w:val="auto"/>
          <w:szCs w:val="21"/>
        </w:rPr>
        <w:t>/</w:t>
      </w:r>
      <w:r>
        <w:rPr>
          <w:rFonts w:hint="eastAsia" w:ascii="宋体" w:hAnsi="宋体"/>
          <w:color w:val="auto"/>
          <w:szCs w:val="21"/>
        </w:rPr>
        <w:t>一般不合格）。”</w:t>
      </w:r>
    </w:p>
    <w:p>
      <w:pPr>
        <w:widowControl/>
        <w:spacing w:line="440" w:lineRule="exact"/>
        <w:ind w:firstLine="420" w:firstLineChars="200"/>
        <w:jc w:val="left"/>
        <w:rPr>
          <w:rFonts w:ascii="宋体" w:hAnsi="宋体"/>
          <w:color w:val="auto"/>
          <w:szCs w:val="21"/>
        </w:rPr>
      </w:pPr>
      <w:r>
        <w:rPr>
          <w:rFonts w:hint="eastAsia" w:ascii="宋体" w:hAnsi="宋体"/>
          <w:color w:val="auto"/>
          <w:szCs w:val="21"/>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该产品本次监督抽查检验符合xx标准号《企业标准名称》要求，不符合xx标准号《国家（行业、地方）标准名称》要求。</w:t>
      </w:r>
    </w:p>
    <w:p>
      <w:pPr>
        <w:spacing w:before="156" w:beforeLines="50" w:line="400" w:lineRule="exact"/>
        <w:rPr>
          <w:rFonts w:ascii="宋体" w:hAnsi="宋体" w:cs="宋体"/>
          <w:b/>
          <w:bCs/>
          <w:color w:val="auto"/>
          <w:szCs w:val="21"/>
        </w:rPr>
      </w:pPr>
      <w:r>
        <w:rPr>
          <w:rFonts w:hint="eastAsia" w:ascii="宋体" w:hAnsi="宋体" w:cs="宋体"/>
          <w:b/>
          <w:bCs/>
          <w:color w:val="auto"/>
          <w:szCs w:val="21"/>
        </w:rPr>
        <w:t>9 异议处理</w:t>
      </w:r>
    </w:p>
    <w:p>
      <w:pPr>
        <w:spacing w:line="400" w:lineRule="exact"/>
        <w:ind w:firstLine="420" w:firstLineChars="200"/>
        <w:rPr>
          <w:rFonts w:ascii="宋体" w:hAnsi="宋体" w:cs="宋体"/>
          <w:color w:val="auto"/>
          <w:szCs w:val="21"/>
        </w:rPr>
      </w:pPr>
      <w:r>
        <w:rPr>
          <w:rFonts w:hint="eastAsia" w:ascii="宋体" w:hAnsi="宋体" w:cs="宋体"/>
          <w:color w:val="auto"/>
          <w:szCs w:val="21"/>
        </w:rPr>
        <w:t>对判定不合格产品进行异议处理时，按以下方式进行：</w:t>
      </w:r>
    </w:p>
    <w:p>
      <w:pPr>
        <w:spacing w:line="400" w:lineRule="exact"/>
        <w:rPr>
          <w:rFonts w:ascii="宋体" w:hAnsi="宋体" w:cs="宋体"/>
          <w:color w:val="auto"/>
          <w:szCs w:val="21"/>
        </w:rPr>
      </w:pPr>
      <w:r>
        <w:rPr>
          <w:rFonts w:hint="eastAsia" w:ascii="宋体" w:hAnsi="宋体" w:cs="宋体"/>
          <w:color w:val="auto"/>
          <w:szCs w:val="21"/>
        </w:rPr>
        <w:t>9.1核查不合格项目相关证据，能够以记录（纸质记录或电子记录或影像记录）或与不合格项目相关联的其它质量数据等检验证据证明。</w:t>
      </w:r>
    </w:p>
    <w:p>
      <w:pPr>
        <w:snapToGrid w:val="0"/>
        <w:spacing w:line="440" w:lineRule="exact"/>
        <w:rPr>
          <w:rFonts w:ascii="宋体" w:hAnsi="宋体"/>
          <w:color w:val="auto"/>
          <w:szCs w:val="21"/>
        </w:rPr>
      </w:pPr>
      <w:r>
        <w:rPr>
          <w:rFonts w:hint="eastAsia" w:ascii="宋体" w:hAnsi="宋体" w:cs="宋体"/>
          <w:color w:val="auto"/>
          <w:szCs w:val="21"/>
        </w:rPr>
        <w:t>9.2</w:t>
      </w:r>
      <w:r>
        <w:rPr>
          <w:rFonts w:hint="eastAsia" w:ascii="宋体" w:hAnsi="宋体"/>
          <w:color w:val="auto"/>
          <w:szCs w:val="21"/>
        </w:rPr>
        <w:t>对需要复检并具备检验条件的，处理企业异议的</w:t>
      </w:r>
      <w:r>
        <w:rPr>
          <w:rFonts w:ascii="宋体" w:hAnsi="宋体"/>
          <w:color w:val="auto"/>
          <w:szCs w:val="21"/>
        </w:rPr>
        <w:t>市场监督管理</w:t>
      </w:r>
      <w:r>
        <w:rPr>
          <w:rFonts w:hint="eastAsia" w:ascii="宋体" w:hAnsi="宋体"/>
          <w:color w:val="auto"/>
          <w:szCs w:val="21"/>
        </w:rPr>
        <w:t>部门按照《产品质量监督抽查管理暂行办法》要求组织复检机构对抽取的备用样品进行复检，并出具检验报告。复检结论为最终结论。</w:t>
      </w:r>
    </w:p>
    <w:p>
      <w:pPr>
        <w:spacing w:line="400" w:lineRule="exact"/>
        <w:rPr>
          <w:rFonts w:ascii="宋体" w:hAnsi="宋体"/>
          <w:b/>
          <w:color w:val="auto"/>
          <w:szCs w:val="21"/>
        </w:rPr>
      </w:pPr>
      <w:r>
        <w:rPr>
          <w:rFonts w:hint="eastAsia" w:ascii="宋体" w:hAnsi="宋体"/>
          <w:b/>
          <w:color w:val="auto"/>
          <w:szCs w:val="21"/>
        </w:rPr>
        <w:t>10  附则</w:t>
      </w:r>
    </w:p>
    <w:p>
      <w:pPr>
        <w:widowControl/>
        <w:spacing w:line="440" w:lineRule="exact"/>
        <w:jc w:val="left"/>
        <w:rPr>
          <w:rFonts w:ascii="宋体" w:hAnsi="宋体"/>
          <w:color w:val="auto"/>
          <w:szCs w:val="21"/>
        </w:rPr>
      </w:pPr>
      <w:r>
        <w:rPr>
          <w:rFonts w:hint="eastAsia" w:ascii="宋体" w:hAnsi="宋体"/>
          <w:color w:val="auto"/>
          <w:szCs w:val="21"/>
        </w:rPr>
        <w:t xml:space="preserve">    本细则编写单位：深圳市计量质量检测研究院。</w:t>
      </w:r>
    </w:p>
    <w:p>
      <w:pPr>
        <w:snapToGrid w:val="0"/>
        <w:spacing w:line="440" w:lineRule="exact"/>
        <w:jc w:val="left"/>
        <w:rPr>
          <w:rFonts w:ascii="仿宋_GB2312" w:eastAsia="仿宋_GB2312"/>
          <w:snapToGrid w:val="0"/>
          <w:color w:val="auto"/>
          <w:kern w:val="0"/>
          <w:sz w:val="32"/>
        </w:rPr>
      </w:pPr>
      <w:r>
        <w:rPr>
          <w:rFonts w:hint="eastAsia" w:ascii="宋体" w:hAnsi="宋体"/>
          <w:color w:val="auto"/>
          <w:szCs w:val="21"/>
        </w:rPr>
        <w:t xml:space="preserve">    本细则由广西壮族自治区市场监督管理局产品质量安全监督管理处（食品安全抽检监测处）管理。</w:t>
      </w:r>
    </w:p>
    <w:p>
      <w:pPr>
        <w:rPr>
          <w:rFonts w:ascii="仿宋" w:hAnsi="仿宋" w:eastAsia="仿宋"/>
          <w:b/>
          <w:color w:val="auto"/>
          <w:sz w:val="28"/>
          <w:szCs w:val="28"/>
        </w:rPr>
      </w:pPr>
    </w:p>
    <w:sectPr>
      <w:headerReference r:id="rId3" w:type="first"/>
      <w:footerReference r:id="rId6" w:type="first"/>
      <w:footerReference r:id="rId4" w:type="default"/>
      <w:footerReference r:id="rId5" w:type="even"/>
      <w:pgSz w:w="11906" w:h="16838"/>
      <w:pgMar w:top="1701" w:right="1474" w:bottom="1474" w:left="1587" w:header="851" w:footer="992" w:gutter="0"/>
      <w:paperSrc/>
      <w:pgNumType w:fmt="decimal" w:start="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 Sun">
    <w:altName w:val="宋体"/>
    <w:panose1 w:val="00000000000000000000"/>
    <w:charset w:val="86"/>
    <w:family w:val="swiss"/>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sz w:val="18"/>
      </w:rPr>
      <w:pict>
        <v:shape id="_x0000_s2049" o:spid="_x0000_s2049" o:spt="202" type="#_x0000_t202" style="position:absolute;left:0pt;margin-top:0pt;height:144pt;width:144pt;mso-position-horizontal:right;mso-position-horizontal-relative:margin;mso-wrap-style:none;z-index:251658240;mso-width-relative:page;mso-height-relative:page;" filled="f" stroked="f" coordsize="21600,21600">
          <v:path/>
          <v:fill on="f" focussize="0,0"/>
          <v:stroke on="f" weight="1.25pt"/>
          <v:imagedata o:title=""/>
          <o:lock v:ext="edit" aspectratio="f"/>
          <v:textbox inset="0mm,0mm,0mm,0mm" style="mso-fit-shape-to-text:t;">
            <w:txbxContent>
              <w:p>
                <w:pPr>
                  <w:pStyle w:val="10"/>
                  <w:rPr>
                    <w:rFonts w:hint="eastAsia" w:eastAsia="宋体"/>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8"/>
      </w:rPr>
    </w:pPr>
    <w:r>
      <w:fldChar w:fldCharType="begin"/>
    </w:r>
    <w:r>
      <w:rPr>
        <w:rStyle w:val="18"/>
      </w:rPr>
      <w:instrText xml:space="preserve">PAGE  </w:instrText>
    </w:r>
    <w:r>
      <w:fldChar w:fldCharType="separate"/>
    </w:r>
    <w:r>
      <w:rPr>
        <w:rStyle w:val="18"/>
      </w:rPr>
      <w:t>12</w:t>
    </w:r>
    <w:r>
      <w:fldChar w:fldCharType="end"/>
    </w:r>
  </w:p>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1.25pt"/>
          <v:imagedata o:title=""/>
          <o:lock v:ext="edit" aspectratio="f"/>
          <v:textbox inset="0mm,0mm,0mm,0mm" style="mso-fit-shape-to-text:t;">
            <w:txbxContent>
              <w:p>
                <w:pPr>
                  <w:pStyle w:val="10"/>
                  <w:rPr>
                    <w:rFonts w:hint="eastAsia" w:eastAsia="宋体"/>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0</w:t>
                </w:r>
                <w:r>
                  <w:rPr>
                    <w:rFonts w:hint="eastAsia"/>
                    <w:lang w:eastAsia="zh-CN"/>
                  </w:rPr>
                  <w:fldChar w:fldCharType="end"/>
                </w:r>
                <w:r>
                  <w:rPr>
                    <w:rFonts w:hint="eastAsia"/>
                    <w:lang w:eastAsia="zh-CN"/>
                  </w:rPr>
                  <w:t xml:space="preserve"> —</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0270"/>
    <w:rsid w:val="00001A39"/>
    <w:rsid w:val="0000276F"/>
    <w:rsid w:val="00004A18"/>
    <w:rsid w:val="00015FC8"/>
    <w:rsid w:val="00016BBD"/>
    <w:rsid w:val="00017B9F"/>
    <w:rsid w:val="000236E9"/>
    <w:rsid w:val="00025607"/>
    <w:rsid w:val="00026A8B"/>
    <w:rsid w:val="000301BD"/>
    <w:rsid w:val="00033DED"/>
    <w:rsid w:val="000343F6"/>
    <w:rsid w:val="000354F3"/>
    <w:rsid w:val="000377AC"/>
    <w:rsid w:val="000400AE"/>
    <w:rsid w:val="00042F87"/>
    <w:rsid w:val="00043C46"/>
    <w:rsid w:val="000443B9"/>
    <w:rsid w:val="000471C4"/>
    <w:rsid w:val="00047E3A"/>
    <w:rsid w:val="00052798"/>
    <w:rsid w:val="00063CFD"/>
    <w:rsid w:val="00067D01"/>
    <w:rsid w:val="00070EC8"/>
    <w:rsid w:val="000733E4"/>
    <w:rsid w:val="00075D74"/>
    <w:rsid w:val="00085AE4"/>
    <w:rsid w:val="00090924"/>
    <w:rsid w:val="00090E8F"/>
    <w:rsid w:val="000910B4"/>
    <w:rsid w:val="000943BE"/>
    <w:rsid w:val="00095EC5"/>
    <w:rsid w:val="00096275"/>
    <w:rsid w:val="0009718B"/>
    <w:rsid w:val="000A5F8C"/>
    <w:rsid w:val="000A6681"/>
    <w:rsid w:val="000A6997"/>
    <w:rsid w:val="000B09AD"/>
    <w:rsid w:val="000B582E"/>
    <w:rsid w:val="000D4EDC"/>
    <w:rsid w:val="000D554E"/>
    <w:rsid w:val="000E32D5"/>
    <w:rsid w:val="000F0EF1"/>
    <w:rsid w:val="000F5570"/>
    <w:rsid w:val="000F6F68"/>
    <w:rsid w:val="000F6F7E"/>
    <w:rsid w:val="000F7882"/>
    <w:rsid w:val="00101ECE"/>
    <w:rsid w:val="001044F1"/>
    <w:rsid w:val="00107506"/>
    <w:rsid w:val="00111ECD"/>
    <w:rsid w:val="00112CBF"/>
    <w:rsid w:val="00115085"/>
    <w:rsid w:val="001247E6"/>
    <w:rsid w:val="001269A8"/>
    <w:rsid w:val="00130D36"/>
    <w:rsid w:val="00130D4B"/>
    <w:rsid w:val="00132714"/>
    <w:rsid w:val="0013341A"/>
    <w:rsid w:val="00134D14"/>
    <w:rsid w:val="00135042"/>
    <w:rsid w:val="00136173"/>
    <w:rsid w:val="00137DE2"/>
    <w:rsid w:val="001437B2"/>
    <w:rsid w:val="001448F0"/>
    <w:rsid w:val="00145934"/>
    <w:rsid w:val="00146009"/>
    <w:rsid w:val="00150154"/>
    <w:rsid w:val="001514B3"/>
    <w:rsid w:val="00152493"/>
    <w:rsid w:val="00152BC1"/>
    <w:rsid w:val="00153C47"/>
    <w:rsid w:val="00156A3F"/>
    <w:rsid w:val="00163B91"/>
    <w:rsid w:val="001642D0"/>
    <w:rsid w:val="00170E21"/>
    <w:rsid w:val="001718EC"/>
    <w:rsid w:val="00171A63"/>
    <w:rsid w:val="00172A27"/>
    <w:rsid w:val="001763B3"/>
    <w:rsid w:val="00180611"/>
    <w:rsid w:val="00180C8B"/>
    <w:rsid w:val="001815DF"/>
    <w:rsid w:val="00183604"/>
    <w:rsid w:val="001855F8"/>
    <w:rsid w:val="0019733C"/>
    <w:rsid w:val="001A179A"/>
    <w:rsid w:val="001B1078"/>
    <w:rsid w:val="001B46CA"/>
    <w:rsid w:val="001C1FC3"/>
    <w:rsid w:val="001C37D6"/>
    <w:rsid w:val="001C3DA7"/>
    <w:rsid w:val="001C46BE"/>
    <w:rsid w:val="001C48ED"/>
    <w:rsid w:val="001C50A1"/>
    <w:rsid w:val="001C66D0"/>
    <w:rsid w:val="001C6C07"/>
    <w:rsid w:val="001C7F73"/>
    <w:rsid w:val="001D08AE"/>
    <w:rsid w:val="001D237D"/>
    <w:rsid w:val="001D25B6"/>
    <w:rsid w:val="001D7167"/>
    <w:rsid w:val="001E0252"/>
    <w:rsid w:val="001E066F"/>
    <w:rsid w:val="001F0738"/>
    <w:rsid w:val="001F51A0"/>
    <w:rsid w:val="001F5E49"/>
    <w:rsid w:val="001F71DF"/>
    <w:rsid w:val="0020285D"/>
    <w:rsid w:val="00204F17"/>
    <w:rsid w:val="00211D4A"/>
    <w:rsid w:val="002132E2"/>
    <w:rsid w:val="00226FE2"/>
    <w:rsid w:val="00227530"/>
    <w:rsid w:val="00227FD5"/>
    <w:rsid w:val="0023190F"/>
    <w:rsid w:val="002353E5"/>
    <w:rsid w:val="00235B87"/>
    <w:rsid w:val="00244D35"/>
    <w:rsid w:val="0025100F"/>
    <w:rsid w:val="00254133"/>
    <w:rsid w:val="002568A4"/>
    <w:rsid w:val="00262E22"/>
    <w:rsid w:val="00267521"/>
    <w:rsid w:val="002678F1"/>
    <w:rsid w:val="00270A5E"/>
    <w:rsid w:val="0027124F"/>
    <w:rsid w:val="00275419"/>
    <w:rsid w:val="002877E9"/>
    <w:rsid w:val="00290ED9"/>
    <w:rsid w:val="00291E8F"/>
    <w:rsid w:val="00292806"/>
    <w:rsid w:val="00297D9A"/>
    <w:rsid w:val="002A085C"/>
    <w:rsid w:val="002A1ADD"/>
    <w:rsid w:val="002A3B36"/>
    <w:rsid w:val="002A5F1F"/>
    <w:rsid w:val="002A600C"/>
    <w:rsid w:val="002B145F"/>
    <w:rsid w:val="002B2D76"/>
    <w:rsid w:val="002B33E0"/>
    <w:rsid w:val="002B3517"/>
    <w:rsid w:val="002B501A"/>
    <w:rsid w:val="002B7398"/>
    <w:rsid w:val="002B73CB"/>
    <w:rsid w:val="002C171F"/>
    <w:rsid w:val="002C287E"/>
    <w:rsid w:val="002C66E9"/>
    <w:rsid w:val="002D16B2"/>
    <w:rsid w:val="002D4153"/>
    <w:rsid w:val="002D6351"/>
    <w:rsid w:val="002E1DE8"/>
    <w:rsid w:val="002E4EFC"/>
    <w:rsid w:val="002E667E"/>
    <w:rsid w:val="002F0626"/>
    <w:rsid w:val="00300744"/>
    <w:rsid w:val="00303052"/>
    <w:rsid w:val="00304C2B"/>
    <w:rsid w:val="00310206"/>
    <w:rsid w:val="00312199"/>
    <w:rsid w:val="00312F0B"/>
    <w:rsid w:val="0031300D"/>
    <w:rsid w:val="00314287"/>
    <w:rsid w:val="00315B03"/>
    <w:rsid w:val="003216AA"/>
    <w:rsid w:val="00323417"/>
    <w:rsid w:val="00326261"/>
    <w:rsid w:val="003262FC"/>
    <w:rsid w:val="0032750F"/>
    <w:rsid w:val="00334A71"/>
    <w:rsid w:val="00336186"/>
    <w:rsid w:val="003363F0"/>
    <w:rsid w:val="00341353"/>
    <w:rsid w:val="00342375"/>
    <w:rsid w:val="00344102"/>
    <w:rsid w:val="003453C3"/>
    <w:rsid w:val="00346F10"/>
    <w:rsid w:val="00347FAB"/>
    <w:rsid w:val="00353E93"/>
    <w:rsid w:val="00357087"/>
    <w:rsid w:val="00357E7B"/>
    <w:rsid w:val="00363AFA"/>
    <w:rsid w:val="00365F6F"/>
    <w:rsid w:val="0037145B"/>
    <w:rsid w:val="00374107"/>
    <w:rsid w:val="0037444E"/>
    <w:rsid w:val="00374DE5"/>
    <w:rsid w:val="00376454"/>
    <w:rsid w:val="0037761A"/>
    <w:rsid w:val="00377891"/>
    <w:rsid w:val="00380CE2"/>
    <w:rsid w:val="00380F98"/>
    <w:rsid w:val="00381079"/>
    <w:rsid w:val="00385615"/>
    <w:rsid w:val="00386173"/>
    <w:rsid w:val="00391E96"/>
    <w:rsid w:val="003923B3"/>
    <w:rsid w:val="003A7FBF"/>
    <w:rsid w:val="003B0257"/>
    <w:rsid w:val="003B07FB"/>
    <w:rsid w:val="003B2CA3"/>
    <w:rsid w:val="003B325F"/>
    <w:rsid w:val="003B45F1"/>
    <w:rsid w:val="003B64A9"/>
    <w:rsid w:val="003C2108"/>
    <w:rsid w:val="003C38A6"/>
    <w:rsid w:val="003C3D2C"/>
    <w:rsid w:val="003C5A0B"/>
    <w:rsid w:val="003C6615"/>
    <w:rsid w:val="003D210B"/>
    <w:rsid w:val="003E381F"/>
    <w:rsid w:val="003E38AB"/>
    <w:rsid w:val="003E600D"/>
    <w:rsid w:val="003E6640"/>
    <w:rsid w:val="003E7202"/>
    <w:rsid w:val="003E7C50"/>
    <w:rsid w:val="003F0697"/>
    <w:rsid w:val="003F2223"/>
    <w:rsid w:val="003F5679"/>
    <w:rsid w:val="003F5DEF"/>
    <w:rsid w:val="00400F5E"/>
    <w:rsid w:val="00404017"/>
    <w:rsid w:val="00404E94"/>
    <w:rsid w:val="00405625"/>
    <w:rsid w:val="004060DF"/>
    <w:rsid w:val="004066F1"/>
    <w:rsid w:val="00406919"/>
    <w:rsid w:val="00412CCD"/>
    <w:rsid w:val="00413335"/>
    <w:rsid w:val="00413D2A"/>
    <w:rsid w:val="00414523"/>
    <w:rsid w:val="00414BD7"/>
    <w:rsid w:val="00417F80"/>
    <w:rsid w:val="00423074"/>
    <w:rsid w:val="004242E5"/>
    <w:rsid w:val="004246A7"/>
    <w:rsid w:val="0043240D"/>
    <w:rsid w:val="00432C92"/>
    <w:rsid w:val="0043459C"/>
    <w:rsid w:val="00440A87"/>
    <w:rsid w:val="00443224"/>
    <w:rsid w:val="00443364"/>
    <w:rsid w:val="004520E5"/>
    <w:rsid w:val="00453889"/>
    <w:rsid w:val="00454A0C"/>
    <w:rsid w:val="00455029"/>
    <w:rsid w:val="00455595"/>
    <w:rsid w:val="00456931"/>
    <w:rsid w:val="0047458C"/>
    <w:rsid w:val="00476D5E"/>
    <w:rsid w:val="00477170"/>
    <w:rsid w:val="00483D63"/>
    <w:rsid w:val="00484064"/>
    <w:rsid w:val="0048666E"/>
    <w:rsid w:val="00487760"/>
    <w:rsid w:val="004923B4"/>
    <w:rsid w:val="004924A6"/>
    <w:rsid w:val="00492D84"/>
    <w:rsid w:val="00493DDC"/>
    <w:rsid w:val="00497553"/>
    <w:rsid w:val="0049771F"/>
    <w:rsid w:val="004A13A2"/>
    <w:rsid w:val="004A3DA3"/>
    <w:rsid w:val="004B0630"/>
    <w:rsid w:val="004B5DFF"/>
    <w:rsid w:val="004B7EEF"/>
    <w:rsid w:val="004C6BD9"/>
    <w:rsid w:val="004D2D08"/>
    <w:rsid w:val="004D74BF"/>
    <w:rsid w:val="004E243F"/>
    <w:rsid w:val="004E32FB"/>
    <w:rsid w:val="004E3C7F"/>
    <w:rsid w:val="004E5B87"/>
    <w:rsid w:val="004E5BD8"/>
    <w:rsid w:val="004E6CC1"/>
    <w:rsid w:val="004E6F49"/>
    <w:rsid w:val="004E7AB1"/>
    <w:rsid w:val="004F2F65"/>
    <w:rsid w:val="004F3AFD"/>
    <w:rsid w:val="004F452B"/>
    <w:rsid w:val="004F52DF"/>
    <w:rsid w:val="004F54EA"/>
    <w:rsid w:val="004F7993"/>
    <w:rsid w:val="00500086"/>
    <w:rsid w:val="00502126"/>
    <w:rsid w:val="00503520"/>
    <w:rsid w:val="005057A7"/>
    <w:rsid w:val="005064CF"/>
    <w:rsid w:val="00510210"/>
    <w:rsid w:val="005103A2"/>
    <w:rsid w:val="005107F4"/>
    <w:rsid w:val="00512618"/>
    <w:rsid w:val="005246A7"/>
    <w:rsid w:val="00524A62"/>
    <w:rsid w:val="00524CBF"/>
    <w:rsid w:val="00527132"/>
    <w:rsid w:val="00527460"/>
    <w:rsid w:val="00530DAC"/>
    <w:rsid w:val="0053368E"/>
    <w:rsid w:val="00536C9F"/>
    <w:rsid w:val="005407AB"/>
    <w:rsid w:val="00541106"/>
    <w:rsid w:val="00543028"/>
    <w:rsid w:val="005442D8"/>
    <w:rsid w:val="00552874"/>
    <w:rsid w:val="00554384"/>
    <w:rsid w:val="005544F4"/>
    <w:rsid w:val="005608BA"/>
    <w:rsid w:val="00561AD2"/>
    <w:rsid w:val="00562728"/>
    <w:rsid w:val="00563117"/>
    <w:rsid w:val="005645C1"/>
    <w:rsid w:val="00565349"/>
    <w:rsid w:val="00566AF7"/>
    <w:rsid w:val="00571816"/>
    <w:rsid w:val="005729C5"/>
    <w:rsid w:val="0057376E"/>
    <w:rsid w:val="00574761"/>
    <w:rsid w:val="00580D23"/>
    <w:rsid w:val="00581356"/>
    <w:rsid w:val="00583059"/>
    <w:rsid w:val="0058375E"/>
    <w:rsid w:val="0058405B"/>
    <w:rsid w:val="0058467F"/>
    <w:rsid w:val="005868FC"/>
    <w:rsid w:val="005906E8"/>
    <w:rsid w:val="005907EB"/>
    <w:rsid w:val="00591F40"/>
    <w:rsid w:val="005942DF"/>
    <w:rsid w:val="005977D0"/>
    <w:rsid w:val="005A3994"/>
    <w:rsid w:val="005B17A8"/>
    <w:rsid w:val="005B17D0"/>
    <w:rsid w:val="005B5459"/>
    <w:rsid w:val="005C6BFB"/>
    <w:rsid w:val="005C7434"/>
    <w:rsid w:val="005D3501"/>
    <w:rsid w:val="005D3788"/>
    <w:rsid w:val="005D6C70"/>
    <w:rsid w:val="005E25F2"/>
    <w:rsid w:val="005E47E5"/>
    <w:rsid w:val="005E5500"/>
    <w:rsid w:val="005E5E59"/>
    <w:rsid w:val="005F2517"/>
    <w:rsid w:val="00603A17"/>
    <w:rsid w:val="006040E3"/>
    <w:rsid w:val="0060446B"/>
    <w:rsid w:val="00604510"/>
    <w:rsid w:val="00612BDC"/>
    <w:rsid w:val="00613232"/>
    <w:rsid w:val="00613437"/>
    <w:rsid w:val="006150B2"/>
    <w:rsid w:val="006163B1"/>
    <w:rsid w:val="00616C18"/>
    <w:rsid w:val="00624721"/>
    <w:rsid w:val="00625927"/>
    <w:rsid w:val="0063086E"/>
    <w:rsid w:val="00632DB6"/>
    <w:rsid w:val="006339A0"/>
    <w:rsid w:val="00634D50"/>
    <w:rsid w:val="006354A4"/>
    <w:rsid w:val="00636D23"/>
    <w:rsid w:val="00637B6C"/>
    <w:rsid w:val="00640C21"/>
    <w:rsid w:val="006454D6"/>
    <w:rsid w:val="00647FF6"/>
    <w:rsid w:val="00651105"/>
    <w:rsid w:val="006524BA"/>
    <w:rsid w:val="0065398A"/>
    <w:rsid w:val="00654001"/>
    <w:rsid w:val="0065608B"/>
    <w:rsid w:val="00661AA2"/>
    <w:rsid w:val="006651B8"/>
    <w:rsid w:val="006673D8"/>
    <w:rsid w:val="00667F1E"/>
    <w:rsid w:val="0067102A"/>
    <w:rsid w:val="00680DA1"/>
    <w:rsid w:val="00681024"/>
    <w:rsid w:val="00684C7F"/>
    <w:rsid w:val="00693C37"/>
    <w:rsid w:val="00694907"/>
    <w:rsid w:val="006957C1"/>
    <w:rsid w:val="006A0F7B"/>
    <w:rsid w:val="006A3858"/>
    <w:rsid w:val="006B11D4"/>
    <w:rsid w:val="006B242B"/>
    <w:rsid w:val="006B24EC"/>
    <w:rsid w:val="006B782D"/>
    <w:rsid w:val="006C18B0"/>
    <w:rsid w:val="006C45BF"/>
    <w:rsid w:val="006D09CF"/>
    <w:rsid w:val="006D3770"/>
    <w:rsid w:val="006D5E12"/>
    <w:rsid w:val="006E3BC5"/>
    <w:rsid w:val="006E41B6"/>
    <w:rsid w:val="006F3892"/>
    <w:rsid w:val="006F5F3E"/>
    <w:rsid w:val="006F5F71"/>
    <w:rsid w:val="006F5FCF"/>
    <w:rsid w:val="00700081"/>
    <w:rsid w:val="007007E4"/>
    <w:rsid w:val="00701DD8"/>
    <w:rsid w:val="00707646"/>
    <w:rsid w:val="007124D4"/>
    <w:rsid w:val="00717EA8"/>
    <w:rsid w:val="0072736F"/>
    <w:rsid w:val="007327F6"/>
    <w:rsid w:val="0073340F"/>
    <w:rsid w:val="00744A46"/>
    <w:rsid w:val="0075157B"/>
    <w:rsid w:val="00751EAC"/>
    <w:rsid w:val="0075515B"/>
    <w:rsid w:val="00764AC1"/>
    <w:rsid w:val="00764DB6"/>
    <w:rsid w:val="00764F0D"/>
    <w:rsid w:val="00773EA2"/>
    <w:rsid w:val="00777093"/>
    <w:rsid w:val="0078149F"/>
    <w:rsid w:val="00784B03"/>
    <w:rsid w:val="0078556B"/>
    <w:rsid w:val="00790B82"/>
    <w:rsid w:val="00796C8E"/>
    <w:rsid w:val="00797792"/>
    <w:rsid w:val="007A12E6"/>
    <w:rsid w:val="007A1D96"/>
    <w:rsid w:val="007B6664"/>
    <w:rsid w:val="007C62A6"/>
    <w:rsid w:val="007C7687"/>
    <w:rsid w:val="007D2100"/>
    <w:rsid w:val="007D2A7E"/>
    <w:rsid w:val="007D47D2"/>
    <w:rsid w:val="007D695C"/>
    <w:rsid w:val="007D7C6C"/>
    <w:rsid w:val="007E03FC"/>
    <w:rsid w:val="007E13CA"/>
    <w:rsid w:val="007E35ED"/>
    <w:rsid w:val="007E37A0"/>
    <w:rsid w:val="007E3FFB"/>
    <w:rsid w:val="007E51B7"/>
    <w:rsid w:val="007F33FC"/>
    <w:rsid w:val="007F5F29"/>
    <w:rsid w:val="007F7F37"/>
    <w:rsid w:val="00800834"/>
    <w:rsid w:val="008010F3"/>
    <w:rsid w:val="00803036"/>
    <w:rsid w:val="00806189"/>
    <w:rsid w:val="0081006F"/>
    <w:rsid w:val="00811815"/>
    <w:rsid w:val="0081295E"/>
    <w:rsid w:val="00813090"/>
    <w:rsid w:val="0082006E"/>
    <w:rsid w:val="00823F61"/>
    <w:rsid w:val="00824A52"/>
    <w:rsid w:val="00835FF9"/>
    <w:rsid w:val="00844244"/>
    <w:rsid w:val="008442E3"/>
    <w:rsid w:val="00844A62"/>
    <w:rsid w:val="00847F2D"/>
    <w:rsid w:val="008509C9"/>
    <w:rsid w:val="00851C95"/>
    <w:rsid w:val="00854965"/>
    <w:rsid w:val="00855522"/>
    <w:rsid w:val="008572DF"/>
    <w:rsid w:val="00860DA1"/>
    <w:rsid w:val="0086464B"/>
    <w:rsid w:val="00864781"/>
    <w:rsid w:val="00870AC4"/>
    <w:rsid w:val="0087700B"/>
    <w:rsid w:val="0088046C"/>
    <w:rsid w:val="00880CB3"/>
    <w:rsid w:val="00881544"/>
    <w:rsid w:val="008815B5"/>
    <w:rsid w:val="00881B0F"/>
    <w:rsid w:val="00881B52"/>
    <w:rsid w:val="00883CA4"/>
    <w:rsid w:val="00883D2E"/>
    <w:rsid w:val="00886BD8"/>
    <w:rsid w:val="00892164"/>
    <w:rsid w:val="0089381C"/>
    <w:rsid w:val="008A144B"/>
    <w:rsid w:val="008A18EB"/>
    <w:rsid w:val="008A2899"/>
    <w:rsid w:val="008A7883"/>
    <w:rsid w:val="008B59FC"/>
    <w:rsid w:val="008C47B1"/>
    <w:rsid w:val="008D1E53"/>
    <w:rsid w:val="008D28D3"/>
    <w:rsid w:val="008D3B9C"/>
    <w:rsid w:val="008D52CA"/>
    <w:rsid w:val="008D6DDB"/>
    <w:rsid w:val="008E14C9"/>
    <w:rsid w:val="008E1A23"/>
    <w:rsid w:val="008E3A08"/>
    <w:rsid w:val="008E53E8"/>
    <w:rsid w:val="008E5945"/>
    <w:rsid w:val="008E6BE0"/>
    <w:rsid w:val="008F1405"/>
    <w:rsid w:val="008F62B1"/>
    <w:rsid w:val="008F6EAA"/>
    <w:rsid w:val="008F7879"/>
    <w:rsid w:val="00900375"/>
    <w:rsid w:val="0090347A"/>
    <w:rsid w:val="009040ED"/>
    <w:rsid w:val="00910808"/>
    <w:rsid w:val="009117B9"/>
    <w:rsid w:val="00915341"/>
    <w:rsid w:val="00917371"/>
    <w:rsid w:val="00924F65"/>
    <w:rsid w:val="00925346"/>
    <w:rsid w:val="0093050E"/>
    <w:rsid w:val="009321DD"/>
    <w:rsid w:val="009428CC"/>
    <w:rsid w:val="00942945"/>
    <w:rsid w:val="00943600"/>
    <w:rsid w:val="00945F29"/>
    <w:rsid w:val="009545D9"/>
    <w:rsid w:val="009617BA"/>
    <w:rsid w:val="0096209D"/>
    <w:rsid w:val="009671EE"/>
    <w:rsid w:val="0096731E"/>
    <w:rsid w:val="009711E8"/>
    <w:rsid w:val="00971DA9"/>
    <w:rsid w:val="00972230"/>
    <w:rsid w:val="00972CE8"/>
    <w:rsid w:val="00981595"/>
    <w:rsid w:val="00982155"/>
    <w:rsid w:val="00983AB2"/>
    <w:rsid w:val="00985599"/>
    <w:rsid w:val="00986427"/>
    <w:rsid w:val="00991E0A"/>
    <w:rsid w:val="00992085"/>
    <w:rsid w:val="00992864"/>
    <w:rsid w:val="00993422"/>
    <w:rsid w:val="009939AE"/>
    <w:rsid w:val="009942A4"/>
    <w:rsid w:val="0099544C"/>
    <w:rsid w:val="00996C16"/>
    <w:rsid w:val="009A0B77"/>
    <w:rsid w:val="009A159E"/>
    <w:rsid w:val="009A1B03"/>
    <w:rsid w:val="009A60FD"/>
    <w:rsid w:val="009B1F03"/>
    <w:rsid w:val="009B3DE2"/>
    <w:rsid w:val="009B406E"/>
    <w:rsid w:val="009B5740"/>
    <w:rsid w:val="009B5A89"/>
    <w:rsid w:val="009C3E5F"/>
    <w:rsid w:val="009C4E7B"/>
    <w:rsid w:val="009C6BFC"/>
    <w:rsid w:val="009D3AE1"/>
    <w:rsid w:val="009D572B"/>
    <w:rsid w:val="009E106D"/>
    <w:rsid w:val="009E258D"/>
    <w:rsid w:val="009E399C"/>
    <w:rsid w:val="009E6BED"/>
    <w:rsid w:val="009E6CE3"/>
    <w:rsid w:val="009F01BE"/>
    <w:rsid w:val="009F208A"/>
    <w:rsid w:val="00A01CD8"/>
    <w:rsid w:val="00A031A1"/>
    <w:rsid w:val="00A041D1"/>
    <w:rsid w:val="00A0554F"/>
    <w:rsid w:val="00A0574E"/>
    <w:rsid w:val="00A065B8"/>
    <w:rsid w:val="00A0716B"/>
    <w:rsid w:val="00A10C9C"/>
    <w:rsid w:val="00A12A40"/>
    <w:rsid w:val="00A2019E"/>
    <w:rsid w:val="00A24317"/>
    <w:rsid w:val="00A26E16"/>
    <w:rsid w:val="00A30CC7"/>
    <w:rsid w:val="00A32C41"/>
    <w:rsid w:val="00A4392A"/>
    <w:rsid w:val="00A4789A"/>
    <w:rsid w:val="00A503E9"/>
    <w:rsid w:val="00A51E63"/>
    <w:rsid w:val="00A55B23"/>
    <w:rsid w:val="00A57E70"/>
    <w:rsid w:val="00A57F8E"/>
    <w:rsid w:val="00A608AE"/>
    <w:rsid w:val="00A624FB"/>
    <w:rsid w:val="00A66310"/>
    <w:rsid w:val="00A672F3"/>
    <w:rsid w:val="00A75853"/>
    <w:rsid w:val="00A81012"/>
    <w:rsid w:val="00A81E6C"/>
    <w:rsid w:val="00A832E0"/>
    <w:rsid w:val="00A918EF"/>
    <w:rsid w:val="00A91E43"/>
    <w:rsid w:val="00A9262E"/>
    <w:rsid w:val="00A92D34"/>
    <w:rsid w:val="00A9384C"/>
    <w:rsid w:val="00A93A11"/>
    <w:rsid w:val="00A93F74"/>
    <w:rsid w:val="00A94C17"/>
    <w:rsid w:val="00A95376"/>
    <w:rsid w:val="00A97026"/>
    <w:rsid w:val="00A97461"/>
    <w:rsid w:val="00AA049F"/>
    <w:rsid w:val="00AA200A"/>
    <w:rsid w:val="00AA575D"/>
    <w:rsid w:val="00AA7096"/>
    <w:rsid w:val="00AB5FCE"/>
    <w:rsid w:val="00AC5562"/>
    <w:rsid w:val="00AD0EB4"/>
    <w:rsid w:val="00AE0075"/>
    <w:rsid w:val="00AE4692"/>
    <w:rsid w:val="00AE4865"/>
    <w:rsid w:val="00AE6519"/>
    <w:rsid w:val="00AF05B8"/>
    <w:rsid w:val="00AF2CF8"/>
    <w:rsid w:val="00AF4D55"/>
    <w:rsid w:val="00AF612F"/>
    <w:rsid w:val="00AF6F40"/>
    <w:rsid w:val="00B01E50"/>
    <w:rsid w:val="00B02757"/>
    <w:rsid w:val="00B02B92"/>
    <w:rsid w:val="00B10849"/>
    <w:rsid w:val="00B11B79"/>
    <w:rsid w:val="00B12A37"/>
    <w:rsid w:val="00B142EB"/>
    <w:rsid w:val="00B1689D"/>
    <w:rsid w:val="00B21238"/>
    <w:rsid w:val="00B214F6"/>
    <w:rsid w:val="00B23B4C"/>
    <w:rsid w:val="00B23C08"/>
    <w:rsid w:val="00B24404"/>
    <w:rsid w:val="00B2692F"/>
    <w:rsid w:val="00B27FA7"/>
    <w:rsid w:val="00B32ADE"/>
    <w:rsid w:val="00B333CE"/>
    <w:rsid w:val="00B33CEA"/>
    <w:rsid w:val="00B34567"/>
    <w:rsid w:val="00B35C97"/>
    <w:rsid w:val="00B448DE"/>
    <w:rsid w:val="00B52F60"/>
    <w:rsid w:val="00B54B34"/>
    <w:rsid w:val="00B55185"/>
    <w:rsid w:val="00B55265"/>
    <w:rsid w:val="00B5649A"/>
    <w:rsid w:val="00B57A84"/>
    <w:rsid w:val="00B57FA8"/>
    <w:rsid w:val="00B61260"/>
    <w:rsid w:val="00B6323C"/>
    <w:rsid w:val="00B637CB"/>
    <w:rsid w:val="00B67188"/>
    <w:rsid w:val="00B67E21"/>
    <w:rsid w:val="00B70897"/>
    <w:rsid w:val="00B72850"/>
    <w:rsid w:val="00B751C7"/>
    <w:rsid w:val="00B751EE"/>
    <w:rsid w:val="00B805A9"/>
    <w:rsid w:val="00B809A1"/>
    <w:rsid w:val="00B818FD"/>
    <w:rsid w:val="00B825CA"/>
    <w:rsid w:val="00B832C3"/>
    <w:rsid w:val="00B844B0"/>
    <w:rsid w:val="00B8587A"/>
    <w:rsid w:val="00B865B9"/>
    <w:rsid w:val="00B901B3"/>
    <w:rsid w:val="00B94A2F"/>
    <w:rsid w:val="00B95147"/>
    <w:rsid w:val="00B971BB"/>
    <w:rsid w:val="00B97576"/>
    <w:rsid w:val="00BA2E1A"/>
    <w:rsid w:val="00BA3DDA"/>
    <w:rsid w:val="00BA673D"/>
    <w:rsid w:val="00BA6D45"/>
    <w:rsid w:val="00BB253B"/>
    <w:rsid w:val="00BB7CF7"/>
    <w:rsid w:val="00BC063D"/>
    <w:rsid w:val="00BC0664"/>
    <w:rsid w:val="00BC0AAA"/>
    <w:rsid w:val="00BC13DD"/>
    <w:rsid w:val="00BC4F83"/>
    <w:rsid w:val="00BC6735"/>
    <w:rsid w:val="00BD44F2"/>
    <w:rsid w:val="00BD4802"/>
    <w:rsid w:val="00BD5E71"/>
    <w:rsid w:val="00BD659C"/>
    <w:rsid w:val="00BE0C0E"/>
    <w:rsid w:val="00BE1104"/>
    <w:rsid w:val="00BE2B88"/>
    <w:rsid w:val="00BE3A2E"/>
    <w:rsid w:val="00BE51C3"/>
    <w:rsid w:val="00BE55CA"/>
    <w:rsid w:val="00BE6816"/>
    <w:rsid w:val="00BE79CC"/>
    <w:rsid w:val="00BF3497"/>
    <w:rsid w:val="00BF4736"/>
    <w:rsid w:val="00C000A5"/>
    <w:rsid w:val="00C02B08"/>
    <w:rsid w:val="00C03B54"/>
    <w:rsid w:val="00C07AB6"/>
    <w:rsid w:val="00C1649B"/>
    <w:rsid w:val="00C16AD0"/>
    <w:rsid w:val="00C17848"/>
    <w:rsid w:val="00C2273D"/>
    <w:rsid w:val="00C23730"/>
    <w:rsid w:val="00C24778"/>
    <w:rsid w:val="00C24938"/>
    <w:rsid w:val="00C2524A"/>
    <w:rsid w:val="00C26512"/>
    <w:rsid w:val="00C30190"/>
    <w:rsid w:val="00C30B2C"/>
    <w:rsid w:val="00C317B7"/>
    <w:rsid w:val="00C42301"/>
    <w:rsid w:val="00C451D1"/>
    <w:rsid w:val="00C45669"/>
    <w:rsid w:val="00C45CCD"/>
    <w:rsid w:val="00C45F26"/>
    <w:rsid w:val="00C47989"/>
    <w:rsid w:val="00C54A2D"/>
    <w:rsid w:val="00C56C50"/>
    <w:rsid w:val="00C66C71"/>
    <w:rsid w:val="00C704F2"/>
    <w:rsid w:val="00C71B0A"/>
    <w:rsid w:val="00C71FC0"/>
    <w:rsid w:val="00C74208"/>
    <w:rsid w:val="00C7603A"/>
    <w:rsid w:val="00C76E7B"/>
    <w:rsid w:val="00C7734C"/>
    <w:rsid w:val="00C80E55"/>
    <w:rsid w:val="00C81E88"/>
    <w:rsid w:val="00C851E3"/>
    <w:rsid w:val="00C86F72"/>
    <w:rsid w:val="00C879E3"/>
    <w:rsid w:val="00C918AA"/>
    <w:rsid w:val="00C92704"/>
    <w:rsid w:val="00C93DEB"/>
    <w:rsid w:val="00C955C6"/>
    <w:rsid w:val="00CA123F"/>
    <w:rsid w:val="00CA2D76"/>
    <w:rsid w:val="00CA323E"/>
    <w:rsid w:val="00CA5369"/>
    <w:rsid w:val="00CA67A5"/>
    <w:rsid w:val="00CA67C5"/>
    <w:rsid w:val="00CB075A"/>
    <w:rsid w:val="00CB383C"/>
    <w:rsid w:val="00CB5A19"/>
    <w:rsid w:val="00CB7AF5"/>
    <w:rsid w:val="00CC0643"/>
    <w:rsid w:val="00CC06BC"/>
    <w:rsid w:val="00CC22E0"/>
    <w:rsid w:val="00CC41A9"/>
    <w:rsid w:val="00CC632E"/>
    <w:rsid w:val="00CD4695"/>
    <w:rsid w:val="00CE18AF"/>
    <w:rsid w:val="00CE23B6"/>
    <w:rsid w:val="00CE4431"/>
    <w:rsid w:val="00CE5678"/>
    <w:rsid w:val="00CE7F18"/>
    <w:rsid w:val="00CF2109"/>
    <w:rsid w:val="00CF3D7F"/>
    <w:rsid w:val="00CF6A4F"/>
    <w:rsid w:val="00CF7302"/>
    <w:rsid w:val="00D00C95"/>
    <w:rsid w:val="00D039D8"/>
    <w:rsid w:val="00D05551"/>
    <w:rsid w:val="00D05C4D"/>
    <w:rsid w:val="00D10C84"/>
    <w:rsid w:val="00D11053"/>
    <w:rsid w:val="00D12E45"/>
    <w:rsid w:val="00D14D85"/>
    <w:rsid w:val="00D16F4C"/>
    <w:rsid w:val="00D200D8"/>
    <w:rsid w:val="00D20C43"/>
    <w:rsid w:val="00D20C51"/>
    <w:rsid w:val="00D22002"/>
    <w:rsid w:val="00D235D5"/>
    <w:rsid w:val="00D24648"/>
    <w:rsid w:val="00D26118"/>
    <w:rsid w:val="00D267B2"/>
    <w:rsid w:val="00D3199D"/>
    <w:rsid w:val="00D32236"/>
    <w:rsid w:val="00D3272D"/>
    <w:rsid w:val="00D33B10"/>
    <w:rsid w:val="00D37574"/>
    <w:rsid w:val="00D43270"/>
    <w:rsid w:val="00D473A8"/>
    <w:rsid w:val="00D52FD8"/>
    <w:rsid w:val="00D55ED9"/>
    <w:rsid w:val="00D60386"/>
    <w:rsid w:val="00D614ED"/>
    <w:rsid w:val="00D617A2"/>
    <w:rsid w:val="00D64346"/>
    <w:rsid w:val="00D653BC"/>
    <w:rsid w:val="00D66DFB"/>
    <w:rsid w:val="00D72F06"/>
    <w:rsid w:val="00D743BA"/>
    <w:rsid w:val="00D77654"/>
    <w:rsid w:val="00D77A04"/>
    <w:rsid w:val="00D858DC"/>
    <w:rsid w:val="00D869C4"/>
    <w:rsid w:val="00D90CD2"/>
    <w:rsid w:val="00D92D33"/>
    <w:rsid w:val="00D938CC"/>
    <w:rsid w:val="00D96108"/>
    <w:rsid w:val="00DA0351"/>
    <w:rsid w:val="00DA04D2"/>
    <w:rsid w:val="00DA4E92"/>
    <w:rsid w:val="00DB2455"/>
    <w:rsid w:val="00DB5C03"/>
    <w:rsid w:val="00DB6DD2"/>
    <w:rsid w:val="00DB77C9"/>
    <w:rsid w:val="00DC6322"/>
    <w:rsid w:val="00DD10A2"/>
    <w:rsid w:val="00DD1E04"/>
    <w:rsid w:val="00DD47D8"/>
    <w:rsid w:val="00DD6661"/>
    <w:rsid w:val="00DE08C3"/>
    <w:rsid w:val="00DE548F"/>
    <w:rsid w:val="00DF0499"/>
    <w:rsid w:val="00DF0FE0"/>
    <w:rsid w:val="00DF2544"/>
    <w:rsid w:val="00DF25F9"/>
    <w:rsid w:val="00DF2D30"/>
    <w:rsid w:val="00DF4542"/>
    <w:rsid w:val="00DF54B3"/>
    <w:rsid w:val="00DF63B4"/>
    <w:rsid w:val="00DF7B02"/>
    <w:rsid w:val="00E00A2D"/>
    <w:rsid w:val="00E05C95"/>
    <w:rsid w:val="00E06E84"/>
    <w:rsid w:val="00E15DEF"/>
    <w:rsid w:val="00E22FF5"/>
    <w:rsid w:val="00E237E9"/>
    <w:rsid w:val="00E24EDF"/>
    <w:rsid w:val="00E25981"/>
    <w:rsid w:val="00E27EBE"/>
    <w:rsid w:val="00E3522A"/>
    <w:rsid w:val="00E42FC4"/>
    <w:rsid w:val="00E45447"/>
    <w:rsid w:val="00E4678E"/>
    <w:rsid w:val="00E46AFA"/>
    <w:rsid w:val="00E47051"/>
    <w:rsid w:val="00E51089"/>
    <w:rsid w:val="00E53A58"/>
    <w:rsid w:val="00E602AC"/>
    <w:rsid w:val="00E6078C"/>
    <w:rsid w:val="00E62D74"/>
    <w:rsid w:val="00E63B9E"/>
    <w:rsid w:val="00E648AE"/>
    <w:rsid w:val="00E64993"/>
    <w:rsid w:val="00E664E1"/>
    <w:rsid w:val="00E6652F"/>
    <w:rsid w:val="00E66B47"/>
    <w:rsid w:val="00E70C28"/>
    <w:rsid w:val="00E73262"/>
    <w:rsid w:val="00E749D9"/>
    <w:rsid w:val="00E8130B"/>
    <w:rsid w:val="00E8220F"/>
    <w:rsid w:val="00E87254"/>
    <w:rsid w:val="00EA038C"/>
    <w:rsid w:val="00EA0974"/>
    <w:rsid w:val="00EA3992"/>
    <w:rsid w:val="00EA4423"/>
    <w:rsid w:val="00EA4D83"/>
    <w:rsid w:val="00EA5A56"/>
    <w:rsid w:val="00EA602D"/>
    <w:rsid w:val="00EA7EE4"/>
    <w:rsid w:val="00EB18C5"/>
    <w:rsid w:val="00EB1E68"/>
    <w:rsid w:val="00EB228F"/>
    <w:rsid w:val="00EB22FE"/>
    <w:rsid w:val="00EB2E2B"/>
    <w:rsid w:val="00EB54E4"/>
    <w:rsid w:val="00EC230A"/>
    <w:rsid w:val="00EC2923"/>
    <w:rsid w:val="00EC5FFE"/>
    <w:rsid w:val="00ED1A5B"/>
    <w:rsid w:val="00ED1AEA"/>
    <w:rsid w:val="00ED290F"/>
    <w:rsid w:val="00ED3660"/>
    <w:rsid w:val="00ED5EAB"/>
    <w:rsid w:val="00ED61E7"/>
    <w:rsid w:val="00EE0531"/>
    <w:rsid w:val="00EE0CE0"/>
    <w:rsid w:val="00EE243C"/>
    <w:rsid w:val="00EE7925"/>
    <w:rsid w:val="00EE7C72"/>
    <w:rsid w:val="00EF3F30"/>
    <w:rsid w:val="00EF4002"/>
    <w:rsid w:val="00F1109F"/>
    <w:rsid w:val="00F17EC5"/>
    <w:rsid w:val="00F24DC7"/>
    <w:rsid w:val="00F25636"/>
    <w:rsid w:val="00F265F3"/>
    <w:rsid w:val="00F27D97"/>
    <w:rsid w:val="00F31B9F"/>
    <w:rsid w:val="00F36785"/>
    <w:rsid w:val="00F37258"/>
    <w:rsid w:val="00F4031C"/>
    <w:rsid w:val="00F40941"/>
    <w:rsid w:val="00F43B8E"/>
    <w:rsid w:val="00F46172"/>
    <w:rsid w:val="00F47800"/>
    <w:rsid w:val="00F53257"/>
    <w:rsid w:val="00F5491C"/>
    <w:rsid w:val="00F557C4"/>
    <w:rsid w:val="00F5589D"/>
    <w:rsid w:val="00F57FCE"/>
    <w:rsid w:val="00F60A12"/>
    <w:rsid w:val="00F61FA0"/>
    <w:rsid w:val="00F63FAF"/>
    <w:rsid w:val="00F7010E"/>
    <w:rsid w:val="00F7699A"/>
    <w:rsid w:val="00F77B1E"/>
    <w:rsid w:val="00F879E5"/>
    <w:rsid w:val="00F87B40"/>
    <w:rsid w:val="00FA1D11"/>
    <w:rsid w:val="00FA2C52"/>
    <w:rsid w:val="00FA5389"/>
    <w:rsid w:val="00FB0173"/>
    <w:rsid w:val="00FB2FDF"/>
    <w:rsid w:val="00FB3760"/>
    <w:rsid w:val="00FB4FD2"/>
    <w:rsid w:val="00FB61C4"/>
    <w:rsid w:val="00FB73F4"/>
    <w:rsid w:val="00FB7AF1"/>
    <w:rsid w:val="00FC0C10"/>
    <w:rsid w:val="00FC2976"/>
    <w:rsid w:val="00FC35D5"/>
    <w:rsid w:val="00FC3F21"/>
    <w:rsid w:val="00FC3F9F"/>
    <w:rsid w:val="00FC48E5"/>
    <w:rsid w:val="00FC4BD7"/>
    <w:rsid w:val="00FC5147"/>
    <w:rsid w:val="00FC5399"/>
    <w:rsid w:val="00FD0EBF"/>
    <w:rsid w:val="00FD5CCB"/>
    <w:rsid w:val="00FF2280"/>
    <w:rsid w:val="00FF320A"/>
    <w:rsid w:val="00FF798B"/>
    <w:rsid w:val="36E5561F"/>
    <w:rsid w:val="437D389E"/>
    <w:rsid w:val="4FB84286"/>
    <w:rsid w:val="571915F2"/>
    <w:rsid w:val="5B8020FB"/>
    <w:rsid w:val="6437355E"/>
    <w:rsid w:val="668C53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0"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nhideWhenUsed="0" w:uiPriority="0" w:semiHidden="0" w:name="Body Text Indent 3"/>
    <w:lsdException w:uiPriority="99" w:name="Block Text"/>
    <w:lsdException w:unhideWhenUsed="0" w:uiPriority="99" w:semiHidden="0" w:name="Hyperlink"/>
    <w:lsdException w:unhideWhenUsed="0"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
    <w:qFormat/>
    <w:uiPriority w:val="0"/>
    <w:pPr>
      <w:keepNext/>
      <w:wordWrap w:val="0"/>
      <w:spacing w:before="240"/>
      <w:jc w:val="right"/>
      <w:outlineLvl w:val="0"/>
    </w:pPr>
    <w:rPr>
      <w:rFonts w:ascii="黑体" w:hAnsi="宋体" w:eastAsia="黑体"/>
      <w:color w:val="000000"/>
      <w:sz w:val="28"/>
      <w:szCs w:val="28"/>
    </w:rPr>
  </w:style>
  <w:style w:type="paragraph" w:styleId="3">
    <w:name w:val="heading 2"/>
    <w:basedOn w:val="1"/>
    <w:next w:val="1"/>
    <w:link w:val="62"/>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7">
    <w:name w:val="Default Paragraph Font"/>
    <w:semiHidden/>
    <w:unhideWhenUsed/>
    <w:uiPriority w:val="1"/>
  </w:style>
  <w:style w:type="table" w:default="1" w:styleId="15">
    <w:name w:val="Normal Table"/>
    <w:semiHidden/>
    <w:unhideWhenUsed/>
    <w:uiPriority w:val="99"/>
    <w:tblPr>
      <w:tblLayout w:type="fixed"/>
      <w:tblCellMar>
        <w:top w:w="0" w:type="dxa"/>
        <w:left w:w="108" w:type="dxa"/>
        <w:bottom w:w="0" w:type="dxa"/>
        <w:right w:w="108" w:type="dxa"/>
      </w:tblCellMar>
    </w:tblPr>
  </w:style>
  <w:style w:type="paragraph" w:styleId="4">
    <w:name w:val="annotation text"/>
    <w:basedOn w:val="1"/>
    <w:link w:val="25"/>
    <w:uiPriority w:val="0"/>
    <w:pPr>
      <w:jc w:val="left"/>
    </w:pPr>
  </w:style>
  <w:style w:type="paragraph" w:styleId="5">
    <w:name w:val="Body Text"/>
    <w:basedOn w:val="1"/>
    <w:link w:val="56"/>
    <w:semiHidden/>
    <w:unhideWhenUsed/>
    <w:uiPriority w:val="99"/>
    <w:pPr>
      <w:spacing w:after="120"/>
    </w:pPr>
  </w:style>
  <w:style w:type="paragraph" w:styleId="6">
    <w:name w:val="Body Text Indent"/>
    <w:basedOn w:val="1"/>
    <w:link w:val="55"/>
    <w:uiPriority w:val="0"/>
    <w:pPr>
      <w:spacing w:after="120"/>
      <w:ind w:left="420" w:leftChars="200"/>
    </w:pPr>
  </w:style>
  <w:style w:type="paragraph" w:styleId="7">
    <w:name w:val="Plain Text"/>
    <w:basedOn w:val="1"/>
    <w:link w:val="57"/>
    <w:qFormat/>
    <w:uiPriority w:val="99"/>
    <w:rPr>
      <w:rFonts w:ascii="宋体" w:hAnsi="Courier New"/>
      <w:kern w:val="0"/>
      <w:sz w:val="20"/>
      <w:szCs w:val="20"/>
    </w:rPr>
  </w:style>
  <w:style w:type="paragraph" w:styleId="8">
    <w:name w:val="Date"/>
    <w:basedOn w:val="1"/>
    <w:next w:val="1"/>
    <w:link w:val="63"/>
    <w:qFormat/>
    <w:uiPriority w:val="0"/>
    <w:pPr>
      <w:ind w:left="100" w:leftChars="2500"/>
    </w:pPr>
  </w:style>
  <w:style w:type="paragraph" w:styleId="9">
    <w:name w:val="Balloon Text"/>
    <w:basedOn w:val="1"/>
    <w:uiPriority w:val="0"/>
    <w:rPr>
      <w:sz w:val="18"/>
      <w:szCs w:val="18"/>
    </w:rPr>
  </w:style>
  <w:style w:type="paragraph" w:styleId="10">
    <w:name w:val="footer"/>
    <w:basedOn w:val="1"/>
    <w:link w:val="22"/>
    <w:qFormat/>
    <w:uiPriority w:val="99"/>
    <w:pPr>
      <w:tabs>
        <w:tab w:val="center" w:pos="4153"/>
        <w:tab w:val="right" w:pos="8306"/>
      </w:tabs>
      <w:snapToGrid w:val="0"/>
      <w:jc w:val="left"/>
    </w:pPr>
    <w:rPr>
      <w:sz w:val="18"/>
      <w:szCs w:val="18"/>
    </w:rPr>
  </w:style>
  <w:style w:type="paragraph" w:styleId="11">
    <w:name w:val="header"/>
    <w:basedOn w:val="1"/>
    <w:link w:val="26"/>
    <w:uiPriority w:val="99"/>
    <w:pPr>
      <w:pBdr>
        <w:bottom w:val="single" w:color="auto" w:sz="6" w:space="1"/>
      </w:pBdr>
      <w:tabs>
        <w:tab w:val="center" w:pos="4153"/>
        <w:tab w:val="right" w:pos="8306"/>
      </w:tabs>
      <w:snapToGrid w:val="0"/>
      <w:jc w:val="center"/>
    </w:pPr>
    <w:rPr>
      <w:sz w:val="18"/>
      <w:szCs w:val="18"/>
    </w:rPr>
  </w:style>
  <w:style w:type="paragraph" w:styleId="12">
    <w:name w:val="Body Text Indent 3"/>
    <w:basedOn w:val="1"/>
    <w:link w:val="24"/>
    <w:uiPriority w:val="0"/>
    <w:pPr>
      <w:snapToGrid w:val="0"/>
      <w:spacing w:line="440" w:lineRule="exact"/>
      <w:ind w:firstLine="420" w:firstLineChars="200"/>
    </w:pPr>
    <w:rPr>
      <w:rFonts w:ascii="宋体" w:hAnsi="宋体"/>
      <w:szCs w:val="21"/>
    </w:rPr>
  </w:style>
  <w:style w:type="paragraph" w:styleId="13">
    <w:name w:val="Normal (Web)"/>
    <w:basedOn w:val="1"/>
    <w:uiPriority w:val="99"/>
    <w:pPr>
      <w:widowControl/>
      <w:spacing w:before="240" w:after="240"/>
      <w:jc w:val="left"/>
    </w:pPr>
    <w:rPr>
      <w:rFonts w:ascii="宋体" w:hAnsi="宋体" w:cs="宋体"/>
      <w:kern w:val="0"/>
      <w:sz w:val="24"/>
    </w:rPr>
  </w:style>
  <w:style w:type="paragraph" w:styleId="14">
    <w:name w:val="annotation subject"/>
    <w:basedOn w:val="4"/>
    <w:next w:val="4"/>
    <w:link w:val="59"/>
    <w:semiHidden/>
    <w:unhideWhenUsed/>
    <w:uiPriority w:val="99"/>
    <w:rPr>
      <w:b/>
      <w:bCs/>
    </w:rPr>
  </w:style>
  <w:style w:type="table" w:styleId="16">
    <w:name w:val="Table Grid"/>
    <w:basedOn w:val="1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8">
    <w:name w:val="page number"/>
    <w:basedOn w:val="17"/>
    <w:uiPriority w:val="0"/>
  </w:style>
  <w:style w:type="character" w:styleId="19">
    <w:name w:val="FollowedHyperlink"/>
    <w:uiPriority w:val="99"/>
    <w:rPr>
      <w:color w:val="800080"/>
      <w:u w:val="single"/>
    </w:rPr>
  </w:style>
  <w:style w:type="character" w:styleId="20">
    <w:name w:val="Hyperlink"/>
    <w:uiPriority w:val="99"/>
    <w:rPr>
      <w:color w:val="0000FF"/>
      <w:u w:val="single"/>
    </w:rPr>
  </w:style>
  <w:style w:type="character" w:styleId="21">
    <w:name w:val="annotation reference"/>
    <w:basedOn w:val="17"/>
    <w:unhideWhenUsed/>
    <w:uiPriority w:val="0"/>
    <w:rPr>
      <w:sz w:val="21"/>
      <w:szCs w:val="21"/>
    </w:rPr>
  </w:style>
  <w:style w:type="character" w:customStyle="1" w:styleId="22">
    <w:name w:val="页脚 Char"/>
    <w:link w:val="10"/>
    <w:qFormat/>
    <w:uiPriority w:val="99"/>
    <w:rPr>
      <w:kern w:val="2"/>
      <w:sz w:val="18"/>
      <w:szCs w:val="18"/>
    </w:rPr>
  </w:style>
  <w:style w:type="character" w:customStyle="1" w:styleId="23">
    <w:name w:val="标题 1 Char"/>
    <w:link w:val="2"/>
    <w:uiPriority w:val="0"/>
    <w:rPr>
      <w:rFonts w:ascii="黑体" w:hAnsi="宋体" w:eastAsia="黑体"/>
      <w:color w:val="000000"/>
      <w:kern w:val="2"/>
      <w:sz w:val="28"/>
      <w:szCs w:val="28"/>
    </w:rPr>
  </w:style>
  <w:style w:type="character" w:customStyle="1" w:styleId="24">
    <w:name w:val="正文文本缩进 3 Char"/>
    <w:link w:val="12"/>
    <w:uiPriority w:val="0"/>
    <w:rPr>
      <w:rFonts w:ascii="宋体" w:hAnsi="宋体"/>
      <w:kern w:val="2"/>
      <w:sz w:val="21"/>
      <w:szCs w:val="21"/>
    </w:rPr>
  </w:style>
  <w:style w:type="character" w:customStyle="1" w:styleId="25">
    <w:name w:val="批注文字 Char"/>
    <w:link w:val="4"/>
    <w:uiPriority w:val="0"/>
    <w:rPr>
      <w:kern w:val="2"/>
      <w:sz w:val="21"/>
      <w:szCs w:val="24"/>
    </w:rPr>
  </w:style>
  <w:style w:type="character" w:customStyle="1" w:styleId="26">
    <w:name w:val="页眉 Char"/>
    <w:link w:val="11"/>
    <w:uiPriority w:val="99"/>
    <w:rPr>
      <w:kern w:val="2"/>
      <w:sz w:val="18"/>
      <w:szCs w:val="18"/>
    </w:rPr>
  </w:style>
  <w:style w:type="paragraph" w:customStyle="1" w:styleId="27">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8">
    <w:name w:val="xl68"/>
    <w:basedOn w:val="1"/>
    <w:qFormat/>
    <w:uiPriority w:val="0"/>
    <w:pPr>
      <w:widowControl/>
      <w:spacing w:before="100" w:beforeAutospacing="1" w:after="100" w:afterAutospacing="1"/>
      <w:jc w:val="center"/>
    </w:pPr>
    <w:rPr>
      <w:rFonts w:ascii="宋体" w:hAnsi="宋体" w:cs="宋体"/>
      <w:kern w:val="0"/>
      <w:sz w:val="20"/>
      <w:szCs w:val="20"/>
    </w:rPr>
  </w:style>
  <w:style w:type="paragraph" w:customStyle="1" w:styleId="29">
    <w:name w:val="Char Char"/>
    <w:basedOn w:val="1"/>
    <w:qFormat/>
    <w:uiPriority w:val="0"/>
    <w:pPr>
      <w:widowControl/>
      <w:spacing w:after="160" w:line="240" w:lineRule="exact"/>
      <w:jc w:val="left"/>
    </w:pPr>
    <w:rPr>
      <w:rFonts w:ascii="Verdana" w:hAnsi="Verdana"/>
      <w:kern w:val="0"/>
      <w:sz w:val="18"/>
      <w:szCs w:val="20"/>
      <w:lang w:eastAsia="en-US"/>
    </w:rPr>
  </w:style>
  <w:style w:type="paragraph" w:customStyle="1" w:styleId="30">
    <w:name w:val="Char Char3"/>
    <w:basedOn w:val="1"/>
    <w:qFormat/>
    <w:uiPriority w:val="0"/>
    <w:pPr>
      <w:widowControl/>
      <w:spacing w:after="160" w:line="240" w:lineRule="exact"/>
      <w:jc w:val="left"/>
    </w:pPr>
    <w:rPr>
      <w:rFonts w:ascii="Verdana" w:hAnsi="Verdana"/>
      <w:kern w:val="0"/>
      <w:sz w:val="18"/>
      <w:szCs w:val="20"/>
      <w:lang w:eastAsia="en-US"/>
    </w:rPr>
  </w:style>
  <w:style w:type="paragraph" w:customStyle="1" w:styleId="31">
    <w:name w:val="font8"/>
    <w:basedOn w:val="1"/>
    <w:uiPriority w:val="0"/>
    <w:pPr>
      <w:widowControl/>
      <w:spacing w:before="100" w:beforeAutospacing="1" w:after="100" w:afterAutospacing="1"/>
      <w:jc w:val="left"/>
    </w:pPr>
    <w:rPr>
      <w:rFonts w:ascii="宋体" w:hAnsi="宋体" w:cs="宋体"/>
      <w:color w:val="000000"/>
      <w:kern w:val="0"/>
      <w:sz w:val="20"/>
      <w:szCs w:val="20"/>
    </w:rPr>
  </w:style>
  <w:style w:type="paragraph" w:customStyle="1" w:styleId="32">
    <w:name w:val="font7"/>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33">
    <w:name w:val="xl72"/>
    <w:basedOn w:val="1"/>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4">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szCs w:val="20"/>
    </w:rPr>
  </w:style>
  <w:style w:type="paragraph" w:customStyle="1" w:styleId="35">
    <w:name w:val="xl73"/>
    <w:basedOn w:val="1"/>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36">
    <w:name w:val="xl74"/>
    <w:basedOn w:val="1"/>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7">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8">
    <w:name w:val="xl71"/>
    <w:basedOn w:val="1"/>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9">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40">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41">
    <w:name w:val="xl78"/>
    <w:basedOn w:val="1"/>
    <w:uiPriority w:val="0"/>
    <w:pPr>
      <w:widowControl/>
      <w:spacing w:before="100" w:beforeAutospacing="1" w:after="100" w:afterAutospacing="1"/>
      <w:jc w:val="center"/>
    </w:pPr>
    <w:rPr>
      <w:rFonts w:ascii="宋体" w:hAnsi="宋体" w:cs="宋体"/>
      <w:color w:val="000000"/>
      <w:kern w:val="0"/>
      <w:sz w:val="20"/>
      <w:szCs w:val="20"/>
    </w:rPr>
  </w:style>
  <w:style w:type="paragraph" w:customStyle="1" w:styleId="42">
    <w:name w:val="Char"/>
    <w:basedOn w:val="1"/>
    <w:qFormat/>
    <w:uiPriority w:val="0"/>
    <w:pPr>
      <w:widowControl/>
      <w:spacing w:after="160" w:line="240" w:lineRule="exact"/>
      <w:jc w:val="left"/>
    </w:pPr>
    <w:rPr>
      <w:rFonts w:ascii="Verdana" w:hAnsi="Verdana"/>
      <w:kern w:val="0"/>
      <w:sz w:val="18"/>
      <w:szCs w:val="20"/>
      <w:lang w:eastAsia="en-US"/>
    </w:rPr>
  </w:style>
  <w:style w:type="paragraph" w:customStyle="1" w:styleId="43">
    <w:name w:val="Char Char1 Char Char Char Char"/>
    <w:basedOn w:val="1"/>
    <w:uiPriority w:val="0"/>
    <w:pPr>
      <w:spacing w:line="400" w:lineRule="exact"/>
    </w:pPr>
    <w:rPr>
      <w:sz w:val="24"/>
    </w:rPr>
  </w:style>
  <w:style w:type="paragraph" w:customStyle="1" w:styleId="44">
    <w:name w:val="xl6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45">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46">
    <w:name w:val="Char Char Char Char1 Char Char"/>
    <w:basedOn w:val="1"/>
    <w:qFormat/>
    <w:uiPriority w:val="0"/>
    <w:pPr>
      <w:widowControl/>
      <w:spacing w:after="160" w:line="240" w:lineRule="exact"/>
      <w:jc w:val="left"/>
    </w:pPr>
    <w:rPr>
      <w:rFonts w:ascii="Verdana" w:hAnsi="Verdana"/>
      <w:kern w:val="0"/>
      <w:sz w:val="18"/>
      <w:szCs w:val="20"/>
      <w:lang w:eastAsia="en-US"/>
    </w:rPr>
  </w:style>
  <w:style w:type="paragraph" w:customStyle="1" w:styleId="47">
    <w:name w:val="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48">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49">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333333"/>
      <w:kern w:val="0"/>
      <w:sz w:val="20"/>
      <w:szCs w:val="20"/>
    </w:rPr>
  </w:style>
  <w:style w:type="paragraph" w:customStyle="1" w:styleId="50">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character" w:customStyle="1" w:styleId="51">
    <w:name w:val="font01"/>
    <w:uiPriority w:val="0"/>
    <w:rPr>
      <w:rFonts w:hint="eastAsia" w:ascii="宋体" w:hAnsi="宋体" w:eastAsia="宋体" w:cs="宋体"/>
      <w:color w:val="000000"/>
      <w:kern w:val="0"/>
      <w:sz w:val="24"/>
      <w:szCs w:val="24"/>
      <w:u w:val="none"/>
      <w:lang w:eastAsia="en-US"/>
    </w:rPr>
  </w:style>
  <w:style w:type="character" w:customStyle="1" w:styleId="52">
    <w:name w:val="font61"/>
    <w:uiPriority w:val="0"/>
    <w:rPr>
      <w:rFonts w:hint="eastAsia" w:ascii="宋体" w:hAnsi="宋体" w:eastAsia="宋体" w:cs="宋体"/>
      <w:b/>
      <w:color w:val="000000"/>
      <w:kern w:val="0"/>
      <w:sz w:val="24"/>
      <w:szCs w:val="24"/>
      <w:u w:val="none"/>
      <w:lang w:eastAsia="en-US"/>
    </w:rPr>
  </w:style>
  <w:style w:type="character" w:customStyle="1" w:styleId="53">
    <w:name w:val="font21"/>
    <w:uiPriority w:val="0"/>
    <w:rPr>
      <w:rFonts w:hint="eastAsia" w:ascii="宋体" w:hAnsi="宋体" w:eastAsia="宋体" w:cs="宋体"/>
      <w:b/>
      <w:color w:val="000000"/>
      <w:kern w:val="0"/>
      <w:sz w:val="24"/>
      <w:szCs w:val="24"/>
      <w:u w:val="none"/>
      <w:lang w:eastAsia="en-US"/>
    </w:rPr>
  </w:style>
  <w:style w:type="character" w:customStyle="1" w:styleId="54">
    <w:name w:val="font11"/>
    <w:uiPriority w:val="0"/>
    <w:rPr>
      <w:rFonts w:hint="default" w:ascii="Arial" w:hAnsi="Arial" w:cs="Arial"/>
      <w:b/>
      <w:color w:val="000000"/>
      <w:kern w:val="0"/>
      <w:sz w:val="24"/>
      <w:szCs w:val="24"/>
      <w:u w:val="none"/>
      <w:lang w:eastAsia="en-US"/>
    </w:rPr>
  </w:style>
  <w:style w:type="character" w:customStyle="1" w:styleId="55">
    <w:name w:val="正文文本缩进 Char"/>
    <w:link w:val="6"/>
    <w:uiPriority w:val="0"/>
    <w:rPr>
      <w:kern w:val="2"/>
      <w:sz w:val="21"/>
      <w:szCs w:val="24"/>
    </w:rPr>
  </w:style>
  <w:style w:type="character" w:customStyle="1" w:styleId="56">
    <w:name w:val="正文文本 Char"/>
    <w:link w:val="5"/>
    <w:semiHidden/>
    <w:uiPriority w:val="99"/>
    <w:rPr>
      <w:kern w:val="2"/>
      <w:sz w:val="21"/>
      <w:szCs w:val="24"/>
    </w:rPr>
  </w:style>
  <w:style w:type="character" w:customStyle="1" w:styleId="57">
    <w:name w:val="纯文本 Char"/>
    <w:link w:val="7"/>
    <w:qFormat/>
    <w:uiPriority w:val="99"/>
    <w:rPr>
      <w:rFonts w:ascii="宋体" w:hAnsi="Courier New"/>
    </w:rPr>
  </w:style>
  <w:style w:type="character" w:customStyle="1" w:styleId="58">
    <w:name w:val="纯文本 Char1"/>
    <w:semiHidden/>
    <w:uiPriority w:val="99"/>
    <w:rPr>
      <w:rFonts w:ascii="宋体" w:hAnsi="Courier New" w:cs="Courier New"/>
      <w:kern w:val="2"/>
      <w:sz w:val="21"/>
      <w:szCs w:val="21"/>
    </w:rPr>
  </w:style>
  <w:style w:type="character" w:customStyle="1" w:styleId="59">
    <w:name w:val="批注主题 Char"/>
    <w:basedOn w:val="25"/>
    <w:link w:val="14"/>
    <w:semiHidden/>
    <w:uiPriority w:val="99"/>
    <w:rPr>
      <w:b/>
      <w:bCs/>
      <w:kern w:val="2"/>
      <w:sz w:val="21"/>
      <w:szCs w:val="24"/>
    </w:rPr>
  </w:style>
  <w:style w:type="paragraph" w:styleId="60">
    <w:name w:val="List Paragraph"/>
    <w:basedOn w:val="1"/>
    <w:qFormat/>
    <w:uiPriority w:val="34"/>
    <w:pPr>
      <w:widowControl/>
      <w:spacing w:before="100" w:beforeAutospacing="1" w:after="100" w:afterAutospacing="1"/>
      <w:jc w:val="left"/>
    </w:pPr>
    <w:rPr>
      <w:rFonts w:ascii="宋体" w:hAnsi="宋体" w:cs="宋体"/>
      <w:kern w:val="0"/>
      <w:sz w:val="24"/>
    </w:rPr>
  </w:style>
  <w:style w:type="character" w:customStyle="1" w:styleId="61">
    <w:name w:val="apple-converted-space"/>
    <w:basedOn w:val="17"/>
    <w:uiPriority w:val="0"/>
  </w:style>
  <w:style w:type="character" w:customStyle="1" w:styleId="62">
    <w:name w:val="标题 2 Char"/>
    <w:basedOn w:val="17"/>
    <w:link w:val="3"/>
    <w:semiHidden/>
    <w:uiPriority w:val="9"/>
    <w:rPr>
      <w:rFonts w:asciiTheme="majorHAnsi" w:hAnsiTheme="majorHAnsi" w:eastAsiaTheme="majorEastAsia" w:cstheme="majorBidi"/>
      <w:b/>
      <w:bCs/>
      <w:kern w:val="2"/>
      <w:sz w:val="32"/>
      <w:szCs w:val="32"/>
    </w:rPr>
  </w:style>
  <w:style w:type="character" w:customStyle="1" w:styleId="63">
    <w:name w:val="日期 Char"/>
    <w:basedOn w:val="17"/>
    <w:link w:val="8"/>
    <w:uiPriority w:val="0"/>
    <w:rPr>
      <w:kern w:val="2"/>
      <w:sz w:val="21"/>
      <w:szCs w:val="24"/>
    </w:rPr>
  </w:style>
  <w:style w:type="paragraph" w:customStyle="1" w:styleId="64">
    <w:name w:val="段"/>
    <w:link w:val="69"/>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5">
    <w:name w:val="公文"/>
    <w:basedOn w:val="1"/>
    <w:qFormat/>
    <w:uiPriority w:val="0"/>
    <w:pPr>
      <w:widowControl/>
      <w:adjustRightInd w:val="0"/>
      <w:snapToGrid w:val="0"/>
      <w:spacing w:beforeLines="25" w:afterLines="35"/>
      <w:ind w:firstLine="200" w:firstLineChars="200"/>
      <w:jc w:val="left"/>
    </w:pPr>
    <w:rPr>
      <w:rFonts w:ascii="仿宋_GB2312" w:eastAsia="仿宋_GB2312"/>
      <w:bCs/>
      <w:kern w:val="0"/>
      <w:sz w:val="32"/>
    </w:rPr>
  </w:style>
  <w:style w:type="paragraph" w:customStyle="1" w:styleId="66">
    <w:name w:val="二级无标题条"/>
    <w:basedOn w:val="1"/>
    <w:qFormat/>
    <w:uiPriority w:val="0"/>
  </w:style>
  <w:style w:type="paragraph" w:customStyle="1" w:styleId="67">
    <w:name w:val="二级条标题"/>
    <w:basedOn w:val="1"/>
    <w:next w:val="64"/>
    <w:uiPriority w:val="0"/>
    <w:pPr>
      <w:widowControl/>
      <w:tabs>
        <w:tab w:val="left" w:pos="1680"/>
      </w:tabs>
      <w:ind w:left="1680" w:hanging="420"/>
      <w:outlineLvl w:val="3"/>
    </w:pPr>
    <w:rPr>
      <w:rFonts w:ascii="黑体" w:eastAsia="黑体"/>
      <w:kern w:val="0"/>
      <w:szCs w:val="20"/>
    </w:rPr>
  </w:style>
  <w:style w:type="paragraph" w:customStyle="1" w:styleId="68">
    <w:name w:val="列项·"/>
    <w:qFormat/>
    <w:uiPriority w:val="0"/>
    <w:pPr>
      <w:tabs>
        <w:tab w:val="left" w:pos="840"/>
      </w:tabs>
      <w:ind w:left="420"/>
      <w:jc w:val="both"/>
    </w:pPr>
    <w:rPr>
      <w:rFonts w:ascii="宋体" w:hAnsi="Times New Roman" w:eastAsia="宋体" w:cs="Times New Roman"/>
      <w:sz w:val="21"/>
      <w:lang w:val="en-US" w:eastAsia="zh-CN" w:bidi="ar-SA"/>
    </w:rPr>
  </w:style>
  <w:style w:type="character" w:customStyle="1" w:styleId="69">
    <w:name w:val="段 Char"/>
    <w:link w:val="64"/>
    <w:qFormat/>
    <w:uiPriority w:val="0"/>
    <w:rPr>
      <w:rFonts w:ascii="宋体"/>
      <w:sz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Info spid="_x0000_s2050"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CA4DE1-752D-4ED9-9867-2C182B2C18D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744</Words>
  <Characters>4241</Characters>
  <Lines>35</Lines>
  <Paragraphs>9</Paragraphs>
  <TotalTime>22</TotalTime>
  <ScaleCrop>false</ScaleCrop>
  <LinksUpToDate>false</LinksUpToDate>
  <CharactersWithSpaces>4976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2020-05-18T07:19:00Z</dcterms:created>
  <dc:creator>CGH</dc:creator>
  <cp:lastModifiedBy>黄飞雪</cp:lastModifiedBy>
  <cp:lastPrinted>2019-04-30T08:11:00Z</cp:lastPrinted>
  <dcterms:modified xsi:type="dcterms:W3CDTF">2020-05-29T10:17:26Z</dcterms:modified>
  <dc:title>2015年运动服装方案</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