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珠海经济特区</w:t>
      </w:r>
      <w:r>
        <w:rPr>
          <w:rFonts w:hint="eastAsia" w:ascii="方正小标宋简体" w:hAnsi="方正小标宋简体" w:eastAsia="方正小标宋简体" w:cs="方正小标宋简体"/>
          <w:sz w:val="44"/>
          <w:szCs w:val="44"/>
        </w:rPr>
        <w:t>优化营商环境的决定</w:t>
      </w:r>
    </w:p>
    <w:p>
      <w:pPr>
        <w:spacing w:line="579" w:lineRule="exact"/>
        <w:jc w:val="center"/>
        <w:rPr>
          <w:rFonts w:hint="eastAsia" w:ascii="仿宋" w:hAnsi="仿宋" w:eastAsia="仿宋" w:cs="仿宋"/>
          <w:sz w:val="32"/>
          <w:szCs w:val="32"/>
        </w:rPr>
      </w:pPr>
      <w:r>
        <w:rPr>
          <w:rFonts w:hint="eastAsia" w:ascii="仿宋" w:hAnsi="仿宋" w:eastAsia="仿宋" w:cs="仿宋"/>
          <w:sz w:val="32"/>
          <w:szCs w:val="32"/>
          <w:lang w:eastAsia="zh-CN"/>
        </w:rPr>
        <w:t>（草案）</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sz w:val="32"/>
          <w:szCs w:val="32"/>
        </w:rPr>
        <w:t>为贯彻落实党中央、国务院关于深化“放管服”改革、优化营商环境的部署</w:t>
      </w:r>
      <w:r>
        <w:rPr>
          <w:rFonts w:hint="eastAsia" w:ascii="仿宋" w:hAnsi="仿宋" w:eastAsia="仿宋" w:cs="仿宋"/>
          <w:kern w:val="0"/>
          <w:sz w:val="32"/>
          <w:szCs w:val="32"/>
        </w:rPr>
        <w:t>，持续优化本市营商环境，深刻转变政府职能，激发市场活力和社会创造力，推动经济高质量发展，根据《优化营商环境条例》，结合</w:t>
      </w:r>
      <w:r>
        <w:rPr>
          <w:rFonts w:hint="eastAsia" w:ascii="仿宋" w:hAnsi="仿宋" w:eastAsia="仿宋" w:cs="仿宋"/>
          <w:kern w:val="0"/>
          <w:sz w:val="32"/>
          <w:szCs w:val="32"/>
          <w:lang w:eastAsia="zh-CN"/>
        </w:rPr>
        <w:t>珠海经济特区实际</w:t>
      </w:r>
      <w:r>
        <w:rPr>
          <w:rFonts w:hint="eastAsia" w:ascii="仿宋" w:hAnsi="仿宋" w:eastAsia="仿宋" w:cs="仿宋"/>
          <w:kern w:val="0"/>
          <w:sz w:val="32"/>
          <w:szCs w:val="32"/>
        </w:rPr>
        <w:t>，作出如下决定：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eastAsia="zh-CN"/>
        </w:rPr>
        <w:t>一、</w:t>
      </w:r>
      <w:r>
        <w:rPr>
          <w:rFonts w:hint="eastAsia" w:ascii="仿宋" w:hAnsi="仿宋" w:eastAsia="仿宋" w:cs="仿宋"/>
          <w:b/>
          <w:bCs/>
          <w:sz w:val="32"/>
          <w:szCs w:val="32"/>
          <w:lang w:eastAsia="zh-CN"/>
        </w:rPr>
        <w:t>【基本原则】</w:t>
      </w:r>
      <w:r>
        <w:rPr>
          <w:rFonts w:hint="eastAsia" w:ascii="仿宋" w:hAnsi="仿宋" w:eastAsia="仿宋" w:cs="仿宋"/>
          <w:sz w:val="32"/>
          <w:szCs w:val="32"/>
        </w:rPr>
        <w:t>以习近平新时代中国特色社会主义思想为指导，全面落实党中央、国务院关于深化“放管服”改革、优化营商环境等一系列重大方针政策，把握粤港澳大湾区重要门户枢纽、珠江口西岸核心城市和沿海经济高质量发展典范的城市战略定位，坚持市场化、法治化、国际化原则，以政府职能转变为核心，以数字政府建设为抓手，全面深化</w:t>
      </w:r>
      <w:r>
        <w:rPr>
          <w:rFonts w:hint="eastAsia" w:ascii="仿宋" w:hAnsi="仿宋" w:eastAsia="仿宋" w:cs="仿宋"/>
          <w:sz w:val="32"/>
          <w:szCs w:val="32"/>
          <w:lang w:eastAsia="zh-CN"/>
        </w:rPr>
        <w:t>“放管服”</w:t>
      </w:r>
      <w:r>
        <w:rPr>
          <w:rFonts w:hint="eastAsia" w:ascii="仿宋" w:hAnsi="仿宋" w:eastAsia="仿宋" w:cs="仿宋"/>
          <w:sz w:val="32"/>
          <w:szCs w:val="32"/>
        </w:rPr>
        <w:t>改革，</w:t>
      </w:r>
      <w:r>
        <w:rPr>
          <w:rFonts w:hint="eastAsia" w:ascii="仿宋" w:hAnsi="仿宋" w:eastAsia="仿宋" w:cs="仿宋"/>
          <w:sz w:val="32"/>
          <w:szCs w:val="32"/>
          <w:lang w:eastAsia="zh-CN"/>
        </w:rPr>
        <w:t>提升市场主体的获得感，破解企业发展“瓶颈”，打</w:t>
      </w:r>
      <w:r>
        <w:rPr>
          <w:rFonts w:hint="eastAsia" w:ascii="仿宋" w:hAnsi="仿宋" w:eastAsia="仿宋" w:cs="仿宋"/>
          <w:sz w:val="32"/>
          <w:szCs w:val="32"/>
        </w:rPr>
        <w:t>造稳定、公平、透明、可预期的</w:t>
      </w:r>
      <w:r>
        <w:rPr>
          <w:rFonts w:hint="eastAsia" w:ascii="仿宋" w:hAnsi="仿宋" w:eastAsia="仿宋" w:cs="仿宋"/>
          <w:sz w:val="32"/>
          <w:szCs w:val="32"/>
          <w:lang w:eastAsia="zh-CN"/>
        </w:rPr>
        <w:t>营商</w:t>
      </w:r>
      <w:r>
        <w:rPr>
          <w:rFonts w:hint="eastAsia" w:ascii="仿宋" w:hAnsi="仿宋" w:eastAsia="仿宋" w:cs="仿宋"/>
          <w:sz w:val="32"/>
          <w:szCs w:val="32"/>
        </w:rPr>
        <w:t>环境。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bCs/>
          <w:sz w:val="32"/>
          <w:szCs w:val="32"/>
          <w:lang w:eastAsia="zh-CN"/>
        </w:rPr>
        <w:t>【政府职责】</w:t>
      </w:r>
      <w:r>
        <w:rPr>
          <w:rFonts w:hint="eastAsia" w:ascii="仿宋" w:hAnsi="仿宋" w:eastAsia="仿宋" w:cs="仿宋"/>
          <w:sz w:val="32"/>
          <w:szCs w:val="32"/>
        </w:rPr>
        <w:t>市、区人民政府加强本市优化营商环境工作的组织领导，建立健全优化营商环境的统筹推进工作机制，政府主要负责人是优化营商环境的第一责任人。</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市、区发展改革部门是本行政区域内优化营商环境工作的主管部门，负责指导、组织、协调优化营商环境日常工作。</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本市商务、政务服务、市场监管、住房城乡建设、自然资源、工业和信息化、司法、地方金融等部门按照各自职责，做好优化营商环境相关工作。</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三、</w:t>
      </w:r>
      <w:r>
        <w:rPr>
          <w:rFonts w:hint="eastAsia" w:ascii="仿宋" w:hAnsi="仿宋" w:eastAsia="仿宋" w:cs="仿宋"/>
          <w:b/>
          <w:bCs/>
          <w:sz w:val="32"/>
          <w:szCs w:val="32"/>
          <w:lang w:eastAsia="zh-CN"/>
        </w:rPr>
        <w:t>【构建“亲”“清”新型政商关系】</w:t>
      </w:r>
      <w:r>
        <w:rPr>
          <w:rFonts w:hint="eastAsia" w:ascii="仿宋" w:hAnsi="仿宋" w:eastAsia="仿宋" w:cs="仿宋"/>
          <w:sz w:val="32"/>
          <w:szCs w:val="32"/>
          <w:lang w:eastAsia="zh-CN"/>
        </w:rPr>
        <w:t>各级党政机关干部要树立服务意识，坦荡真诚同企业家交往，了解企业经营情况，关注企业的问题，帮助解决企业实际困难，同企业家建立真诚互信、清白纯洁、良性互动的工作关系。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企业应当遵守法律法规，恪守社会公德和商业道德，诚实守信、公平竞争，履行安全、质量、劳动者权益保护、消费者权益保护等方面的法定义务，自觉履行社会责任。</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四、</w:t>
      </w:r>
      <w:r>
        <w:rPr>
          <w:rFonts w:hint="eastAsia" w:ascii="仿宋" w:hAnsi="仿宋" w:eastAsia="仿宋" w:cs="仿宋"/>
          <w:b/>
          <w:bCs/>
          <w:sz w:val="32"/>
          <w:szCs w:val="32"/>
          <w:lang w:eastAsia="zh-CN"/>
        </w:rPr>
        <w:t>【打造公平竞争的市场环境】</w:t>
      </w:r>
      <w:r>
        <w:rPr>
          <w:rFonts w:hint="eastAsia" w:ascii="仿宋" w:hAnsi="仿宋" w:eastAsia="仿宋" w:cs="仿宋"/>
          <w:sz w:val="32"/>
          <w:szCs w:val="32"/>
          <w:lang w:eastAsia="zh-CN"/>
        </w:rPr>
        <w:t>行政机关以及法律法规授权具有管理公共事务职能的组织制定市场准入、产业发展、招商引资、招标投标、政府采购、经营行为规范、资质标准等与市场主体生产经营活动密切相关的政策措施，应当进行公平竞争审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9"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本市坚持规则平等。市、区人民政府及有关部门</w:t>
      </w:r>
      <w:r>
        <w:rPr>
          <w:rFonts w:hint="eastAsia" w:ascii="仿宋" w:hAnsi="仿宋" w:eastAsia="仿宋" w:cs="仿宋"/>
          <w:b w:val="0"/>
          <w:i w:val="0"/>
          <w:caps w:val="0"/>
          <w:color w:val="auto"/>
          <w:spacing w:val="0"/>
          <w:sz w:val="32"/>
          <w:szCs w:val="32"/>
          <w:shd w:val="clear" w:fill="auto"/>
        </w:rPr>
        <w:t>按照“法无授权不可为”、“法无禁止皆可为”、“法定职责必须为”的原则</w:t>
      </w:r>
      <w:r>
        <w:rPr>
          <w:rFonts w:hint="eastAsia" w:ascii="仿宋" w:hAnsi="仿宋" w:eastAsia="仿宋" w:cs="仿宋"/>
          <w:b w:val="0"/>
          <w:i w:val="0"/>
          <w:caps w:val="0"/>
          <w:color w:val="auto"/>
          <w:spacing w:val="0"/>
          <w:sz w:val="32"/>
          <w:szCs w:val="32"/>
          <w:shd w:val="clear" w:fill="auto"/>
          <w:lang w:eastAsia="zh-CN"/>
        </w:rPr>
        <w:t>，</w:t>
      </w:r>
      <w:r>
        <w:rPr>
          <w:rFonts w:hint="eastAsia" w:ascii="仿宋" w:hAnsi="仿宋" w:eastAsia="仿宋" w:cs="仿宋"/>
          <w:sz w:val="32"/>
          <w:szCs w:val="32"/>
          <w:lang w:eastAsia="zh-CN"/>
        </w:rPr>
        <w:t>全面实施国家市场准入负面清单，消除各类显性和隐性壁垒。逐步放宽在基础设施、社会事业、金融服务业等行业和领域放宽市场准入，引入市场竞争机制。</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坚持权利平等。依法保障各类市场主体平等适用国家和本市各类支持发展政策，平等使用资金、技术、人力资源、土地等各类生产要素和公共服务资源，在政府采购和招标投标等公共资源交易活动中获得公平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2147483648" w:beforeAutospacing="0" w:after="0" w:afterLines="-2147483648" w:afterAutospacing="0" w:line="579"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sz w:val="32"/>
          <w:szCs w:val="32"/>
          <w:lang w:eastAsia="zh-CN"/>
        </w:rPr>
        <w:t>本市坚持机会平等。</w:t>
      </w:r>
      <w:r>
        <w:rPr>
          <w:rFonts w:hint="eastAsia" w:ascii="仿宋" w:hAnsi="仿宋" w:eastAsia="仿宋" w:cs="仿宋"/>
          <w:sz w:val="32"/>
          <w:szCs w:val="32"/>
        </w:rPr>
        <w:t>政府投资建设项目招投标、政府采购、国企招标采购等重点领域</w:t>
      </w:r>
      <w:r>
        <w:rPr>
          <w:rFonts w:hint="eastAsia" w:ascii="仿宋" w:hAnsi="仿宋" w:eastAsia="仿宋" w:cs="仿宋"/>
          <w:i w:val="0"/>
          <w:caps w:val="0"/>
          <w:color w:val="auto"/>
          <w:spacing w:val="0"/>
          <w:sz w:val="32"/>
          <w:szCs w:val="32"/>
          <w:shd w:val="clear" w:color="auto" w:fill="auto"/>
        </w:rPr>
        <w:t>活动</w:t>
      </w:r>
      <w:r>
        <w:rPr>
          <w:rFonts w:hint="eastAsia" w:ascii="仿宋" w:hAnsi="仿宋" w:eastAsia="仿宋" w:cs="仿宋"/>
          <w:i w:val="0"/>
          <w:caps w:val="0"/>
          <w:color w:val="auto"/>
          <w:spacing w:val="0"/>
          <w:sz w:val="32"/>
          <w:szCs w:val="32"/>
          <w:shd w:val="clear" w:color="auto" w:fill="auto"/>
          <w:lang w:eastAsia="zh-CN"/>
        </w:rPr>
        <w:t>应当</w:t>
      </w:r>
      <w:r>
        <w:rPr>
          <w:rFonts w:hint="eastAsia" w:ascii="仿宋" w:hAnsi="仿宋" w:eastAsia="仿宋" w:cs="仿宋"/>
          <w:sz w:val="32"/>
          <w:szCs w:val="32"/>
          <w:lang w:eastAsia="zh-CN"/>
        </w:rPr>
        <w:t>公开透明、公平公正</w:t>
      </w:r>
      <w:r>
        <w:rPr>
          <w:rFonts w:hint="eastAsia" w:ascii="仿宋" w:hAnsi="仿宋" w:eastAsia="仿宋" w:cs="仿宋"/>
          <w:i w:val="0"/>
          <w:caps w:val="0"/>
          <w:color w:val="auto"/>
          <w:spacing w:val="0"/>
          <w:sz w:val="32"/>
          <w:szCs w:val="32"/>
          <w:shd w:val="clear" w:color="auto" w:fill="auto"/>
        </w:rPr>
        <w:t>，</w:t>
      </w:r>
      <w:r>
        <w:rPr>
          <w:rFonts w:hint="eastAsia" w:ascii="仿宋" w:hAnsi="仿宋" w:eastAsia="仿宋" w:cs="仿宋"/>
          <w:sz w:val="32"/>
          <w:szCs w:val="32"/>
          <w:lang w:eastAsia="zh-CN"/>
        </w:rPr>
        <w:t>保障各类市场主体依法平等参与</w:t>
      </w:r>
      <w:r>
        <w:rPr>
          <w:rFonts w:hint="eastAsia" w:ascii="仿宋" w:hAnsi="仿宋" w:eastAsia="仿宋" w:cs="仿宋"/>
          <w:sz w:val="32"/>
          <w:szCs w:val="32"/>
          <w:lang w:val="en-US" w:eastAsia="zh-CN"/>
        </w:rPr>
        <w:t>,</w:t>
      </w:r>
      <w:r>
        <w:rPr>
          <w:rFonts w:hint="eastAsia" w:ascii="仿宋" w:hAnsi="仿宋" w:eastAsia="仿宋" w:cs="仿宋"/>
          <w:i w:val="0"/>
          <w:caps w:val="0"/>
          <w:color w:val="auto"/>
          <w:spacing w:val="0"/>
          <w:sz w:val="32"/>
          <w:szCs w:val="32"/>
          <w:shd w:val="clear" w:color="auto" w:fill="auto"/>
        </w:rPr>
        <w:t>不得</w:t>
      </w:r>
      <w:r>
        <w:rPr>
          <w:rFonts w:hint="eastAsia" w:ascii="仿宋" w:hAnsi="仿宋" w:eastAsia="仿宋" w:cs="仿宋"/>
          <w:i w:val="0"/>
          <w:caps w:val="0"/>
          <w:color w:val="auto"/>
          <w:spacing w:val="0"/>
          <w:sz w:val="32"/>
          <w:szCs w:val="32"/>
          <w:shd w:val="clear" w:color="auto" w:fill="auto"/>
          <w:lang w:eastAsia="zh-CN"/>
        </w:rPr>
        <w:t>以不合理的条件</w:t>
      </w:r>
      <w:r>
        <w:rPr>
          <w:rFonts w:hint="eastAsia" w:ascii="仿宋" w:hAnsi="仿宋" w:eastAsia="仿宋" w:cs="仿宋"/>
          <w:i w:val="0"/>
          <w:caps w:val="0"/>
          <w:color w:val="auto"/>
          <w:spacing w:val="0"/>
          <w:sz w:val="32"/>
          <w:szCs w:val="32"/>
          <w:shd w:val="clear" w:color="auto" w:fill="auto"/>
        </w:rPr>
        <w:t>限制或者排斥潜在供应商或者投标人</w:t>
      </w:r>
      <w:r>
        <w:rPr>
          <w:rFonts w:hint="eastAsia" w:ascii="仿宋" w:hAnsi="仿宋" w:eastAsia="仿宋" w:cs="仿宋"/>
          <w:sz w:val="32"/>
          <w:szCs w:val="32"/>
          <w:lang w:eastAsia="zh-CN"/>
        </w:rPr>
        <w:t>，不得</w:t>
      </w:r>
      <w:r>
        <w:rPr>
          <w:rFonts w:hint="eastAsia" w:ascii="仿宋" w:hAnsi="仿宋" w:eastAsia="仿宋" w:cs="仿宋"/>
          <w:i w:val="0"/>
          <w:caps w:val="0"/>
          <w:color w:val="auto"/>
          <w:spacing w:val="0"/>
          <w:sz w:val="32"/>
          <w:szCs w:val="32"/>
          <w:shd w:val="clear" w:color="auto" w:fill="auto"/>
        </w:rPr>
        <w:t>违法限定潜在供应商或者投标人的所有制形式或者组织形式</w:t>
      </w:r>
      <w:r>
        <w:rPr>
          <w:rFonts w:hint="eastAsia" w:ascii="仿宋" w:hAnsi="仿宋" w:eastAsia="仿宋" w:cs="仿宋"/>
          <w:i w:val="0"/>
          <w:caps w:val="0"/>
          <w:color w:val="auto"/>
          <w:spacing w:val="0"/>
          <w:sz w:val="32"/>
          <w:szCs w:val="32"/>
          <w:shd w:val="clear" w:color="auto" w:fill="auto"/>
          <w:lang w:eastAsia="zh-CN"/>
        </w:rPr>
        <w:t>，不得</w:t>
      </w:r>
      <w:r>
        <w:rPr>
          <w:rFonts w:hint="eastAsia" w:ascii="仿宋" w:hAnsi="仿宋" w:eastAsia="仿宋" w:cs="仿宋"/>
          <w:i w:val="0"/>
          <w:caps w:val="0"/>
          <w:color w:val="auto"/>
          <w:spacing w:val="0"/>
          <w:sz w:val="32"/>
          <w:szCs w:val="32"/>
          <w:shd w:val="clear" w:color="auto" w:fill="auto"/>
        </w:rPr>
        <w:t>以特定行政区域或者特定行业的业绩、奖项作为加分条件</w:t>
      </w:r>
      <w:r>
        <w:rPr>
          <w:rFonts w:hint="eastAsia" w:ascii="仿宋" w:hAnsi="仿宋" w:eastAsia="仿宋" w:cs="仿宋"/>
          <w:i w:val="0"/>
          <w:caps w:val="0"/>
          <w:color w:val="auto"/>
          <w:spacing w:val="0"/>
          <w:sz w:val="32"/>
          <w:szCs w:val="32"/>
          <w:shd w:val="clear" w:color="auto" w:fill="auto"/>
          <w:lang w:eastAsia="zh-CN"/>
        </w:rPr>
        <w:t>，不得</w:t>
      </w:r>
      <w:r>
        <w:rPr>
          <w:rFonts w:hint="eastAsia" w:ascii="仿宋" w:hAnsi="仿宋" w:eastAsia="仿宋" w:cs="仿宋"/>
          <w:i w:val="0"/>
          <w:caps w:val="0"/>
          <w:color w:val="auto"/>
          <w:spacing w:val="0"/>
          <w:sz w:val="32"/>
          <w:szCs w:val="32"/>
          <w:shd w:val="clear" w:color="auto" w:fill="auto"/>
        </w:rPr>
        <w:t>限定或者指定特定的专利、商标、品牌、原产地或者供应商等</w:t>
      </w:r>
      <w:r>
        <w:rPr>
          <w:rFonts w:hint="eastAsia" w:ascii="仿宋" w:hAnsi="仿宋" w:eastAsia="仿宋" w:cs="仿宋"/>
          <w:i w:val="0"/>
          <w:caps w:val="0"/>
          <w:color w:val="auto"/>
          <w:spacing w:val="0"/>
          <w:sz w:val="32"/>
          <w:szCs w:val="32"/>
          <w:shd w:val="clear" w:color="auto" w:fill="auto"/>
          <w:lang w:eastAsia="zh-CN"/>
        </w:rPr>
        <w:t>。完善建设工程招标投标制度，完善适用项目范围、择优竞价评审、投票表决定标、违规追责等方法内容或实施细则。健全招标采购内部控制管理制度，明确资格审查、评（定）标、监督等关键岗位权责清单，制定廉洁从业风险防控措施，完善责任追究办法。</w:t>
      </w:r>
    </w:p>
    <w:p>
      <w:pPr>
        <w:widowControl/>
        <w:numPr>
          <w:ilvl w:val="-1"/>
          <w:numId w:val="0"/>
        </w:numPr>
        <w:shd w:val="clear" w:color="auto" w:fill="FFFFFF"/>
        <w:spacing w:line="579" w:lineRule="exact"/>
        <w:ind w:firstLine="640" w:firstLineChars="200"/>
        <w:jc w:val="both"/>
        <w:outlineLvl w:val="9"/>
        <w:rPr>
          <w:rFonts w:hint="eastAsia" w:ascii="仿宋" w:hAnsi="仿宋" w:eastAsia="仿宋" w:cs="仿宋"/>
          <w:kern w:val="2"/>
          <w:sz w:val="32"/>
          <w:szCs w:val="32"/>
        </w:rPr>
      </w:pPr>
      <w:bookmarkStart w:id="0" w:name="_GoBack"/>
      <w:r>
        <w:rPr>
          <w:rFonts w:hint="eastAsia" w:ascii="仿宋" w:hAnsi="仿宋" w:eastAsia="仿宋" w:cs="仿宋"/>
          <w:b w:val="0"/>
          <w:bCs w:val="0"/>
          <w:sz w:val="32"/>
          <w:szCs w:val="32"/>
          <w:lang w:eastAsia="zh-CN"/>
        </w:rPr>
        <w:t>五、</w:t>
      </w:r>
      <w:r>
        <w:rPr>
          <w:rFonts w:hint="eastAsia" w:ascii="仿宋" w:hAnsi="仿宋" w:eastAsia="仿宋" w:cs="仿宋"/>
          <w:b/>
          <w:bCs/>
          <w:sz w:val="32"/>
          <w:szCs w:val="32"/>
          <w:lang w:eastAsia="zh-CN"/>
        </w:rPr>
        <w:t>【打造高效便利的政务环境】</w:t>
      </w:r>
      <w:r>
        <w:rPr>
          <w:rFonts w:hint="eastAsia" w:ascii="仿宋" w:hAnsi="仿宋" w:eastAsia="仿宋" w:cs="仿宋"/>
          <w:sz w:val="32"/>
          <w:szCs w:val="32"/>
        </w:rPr>
        <w:t>本市</w:t>
      </w:r>
      <w:r>
        <w:rPr>
          <w:rFonts w:hint="eastAsia" w:ascii="仿宋" w:hAnsi="仿宋" w:eastAsia="仿宋" w:cs="仿宋"/>
          <w:color w:val="auto"/>
          <w:sz w:val="32"/>
          <w:szCs w:val="32"/>
          <w:lang w:val="en-US" w:eastAsia="zh-CN"/>
        </w:rPr>
        <w:t>高标准打造</w:t>
      </w:r>
      <w:r>
        <w:rPr>
          <w:rFonts w:hint="eastAsia" w:ascii="仿宋" w:hAnsi="仿宋" w:eastAsia="仿宋" w:cs="仿宋"/>
          <w:color w:val="auto"/>
          <w:sz w:val="32"/>
          <w:szCs w:val="32"/>
        </w:rPr>
        <w:t>“全市一盘棋”</w:t>
      </w:r>
      <w:r>
        <w:rPr>
          <w:rFonts w:hint="eastAsia" w:ascii="仿宋" w:hAnsi="仿宋" w:eastAsia="仿宋" w:cs="仿宋"/>
          <w:color w:val="auto"/>
          <w:sz w:val="32"/>
          <w:szCs w:val="32"/>
          <w:lang w:val="en-US" w:eastAsia="zh-CN"/>
        </w:rPr>
        <w:t>的整体化“</w:t>
      </w:r>
      <w:r>
        <w:rPr>
          <w:rFonts w:hint="eastAsia" w:ascii="仿宋" w:hAnsi="仿宋" w:eastAsia="仿宋" w:cs="仿宋"/>
          <w:color w:val="auto"/>
          <w:sz w:val="32"/>
          <w:szCs w:val="32"/>
        </w:rPr>
        <w:t>数字政府</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w:t>
      </w:r>
      <w:r>
        <w:rPr>
          <w:rFonts w:hint="eastAsia" w:ascii="仿宋" w:hAnsi="仿宋" w:eastAsia="仿宋" w:cs="仿宋"/>
          <w:sz w:val="32"/>
          <w:szCs w:val="32"/>
        </w:rPr>
        <w:t>推动政府数据依法依规全面共享和开放</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让数据多跑路、企业少跑路</w:t>
      </w:r>
      <w:r>
        <w:rPr>
          <w:rFonts w:hint="eastAsia" w:ascii="仿宋" w:hAnsi="仿宋" w:eastAsia="仿宋" w:cs="仿宋"/>
          <w:sz w:val="32"/>
          <w:szCs w:val="32"/>
        </w:rPr>
        <w:t>。建设布局合理、规模适度、保障有力、绿色集约的统一政务大数据中心，打通部门数据壁垒</w:t>
      </w:r>
      <w:r>
        <w:rPr>
          <w:rFonts w:hint="eastAsia" w:ascii="仿宋" w:hAnsi="仿宋" w:eastAsia="仿宋" w:cs="仿宋"/>
          <w:sz w:val="32"/>
          <w:szCs w:val="32"/>
          <w:lang w:eastAsia="zh-CN"/>
        </w:rPr>
        <w:t>与信息孤岛</w:t>
      </w:r>
      <w:r>
        <w:rPr>
          <w:rFonts w:hint="eastAsia" w:ascii="仿宋" w:hAnsi="仿宋" w:eastAsia="仿宋" w:cs="仿宋"/>
          <w:sz w:val="32"/>
          <w:szCs w:val="32"/>
        </w:rPr>
        <w:t>，加快推进政府数据资源跨行业、跨领域、跨区域的共享交换和规范利用。打通市场监管、公安、税务、人社等部门数据接口，</w:t>
      </w:r>
      <w:r>
        <w:rPr>
          <w:rFonts w:hint="eastAsia" w:ascii="仿宋" w:hAnsi="仿宋" w:eastAsia="仿宋" w:cs="仿宋"/>
          <w:kern w:val="2"/>
          <w:sz w:val="32"/>
          <w:szCs w:val="32"/>
        </w:rPr>
        <w:t>开办企业涉及的申请营业执照、刻制印章、申领发票(含税控设备)、就业和参保登记、住房公积金缴存登记等事项</w:t>
      </w:r>
      <w:r>
        <w:rPr>
          <w:rFonts w:hint="eastAsia" w:ascii="仿宋" w:hAnsi="仿宋" w:eastAsia="仿宋" w:cs="仿宋"/>
          <w:kern w:val="2"/>
          <w:sz w:val="32"/>
          <w:szCs w:val="32"/>
          <w:lang w:eastAsia="zh-CN"/>
        </w:rPr>
        <w:t>整合为</w:t>
      </w:r>
      <w:r>
        <w:rPr>
          <w:rFonts w:hint="eastAsia" w:ascii="仿宋" w:hAnsi="仿宋" w:eastAsia="仿宋" w:cs="仿宋"/>
          <w:kern w:val="2"/>
          <w:sz w:val="32"/>
          <w:szCs w:val="32"/>
          <w:lang w:val="en-US" w:eastAsia="zh-CN"/>
        </w:rPr>
        <w:t>1个环节</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实现</w:t>
      </w:r>
      <w:r>
        <w:rPr>
          <w:rFonts w:hint="eastAsia" w:ascii="仿宋" w:hAnsi="仿宋" w:eastAsia="仿宋" w:cs="仿宋"/>
          <w:kern w:val="2"/>
          <w:sz w:val="32"/>
          <w:szCs w:val="32"/>
        </w:rPr>
        <w:t>在</w:t>
      </w:r>
      <w:r>
        <w:rPr>
          <w:rFonts w:hint="eastAsia" w:ascii="仿宋" w:hAnsi="仿宋" w:eastAsia="仿宋" w:cs="仿宋"/>
          <w:kern w:val="2"/>
          <w:sz w:val="32"/>
          <w:szCs w:val="32"/>
          <w:lang w:eastAsia="zh-CN"/>
        </w:rPr>
        <w:t>线</w:t>
      </w:r>
      <w:r>
        <w:rPr>
          <w:rFonts w:hint="eastAsia" w:ascii="仿宋" w:hAnsi="仿宋" w:eastAsia="仿宋" w:cs="仿宋"/>
          <w:kern w:val="2"/>
          <w:sz w:val="32"/>
          <w:szCs w:val="32"/>
        </w:rPr>
        <w:t>上平台</w:t>
      </w:r>
      <w:r>
        <w:rPr>
          <w:rFonts w:hint="eastAsia" w:ascii="仿宋" w:hAnsi="仿宋" w:eastAsia="仿宋" w:cs="仿宋"/>
          <w:kern w:val="2"/>
          <w:sz w:val="32"/>
          <w:szCs w:val="32"/>
          <w:lang w:eastAsia="zh-CN"/>
        </w:rPr>
        <w:t>一表</w:t>
      </w:r>
      <w:r>
        <w:rPr>
          <w:rFonts w:hint="eastAsia" w:ascii="仿宋" w:hAnsi="仿宋" w:eastAsia="仿宋" w:cs="仿宋"/>
          <w:kern w:val="2"/>
          <w:sz w:val="32"/>
          <w:szCs w:val="32"/>
        </w:rPr>
        <w:t>同步办理，最快0.5天办结</w:t>
      </w:r>
      <w:r>
        <w:rPr>
          <w:rFonts w:hint="eastAsia" w:ascii="仿宋" w:hAnsi="仿宋" w:eastAsia="仿宋" w:cs="仿宋"/>
          <w:kern w:val="2"/>
          <w:sz w:val="32"/>
          <w:szCs w:val="32"/>
          <w:lang w:eastAsia="zh-CN"/>
        </w:rPr>
        <w:t>。</w:t>
      </w:r>
    </w:p>
    <w:p>
      <w:pPr>
        <w:widowControl/>
        <w:numPr>
          <w:ilvl w:val="-1"/>
          <w:numId w:val="0"/>
        </w:numPr>
        <w:shd w:val="clear" w:color="auto" w:fill="FFFFFF"/>
        <w:spacing w:beforeLines="-2147483648" w:afterLines="-2147483648" w:line="579" w:lineRule="exact"/>
        <w:ind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创新运用大数据、云计算、区块链、人工智能等前沿科技，打造汇聚政府、企业和社会数据的“城市大脑”，清除信息孤岛，共享数据资源，建设实体城市与虚拟城市数字孪生的、物质流与数据流高度融合的新型城市，并在审批、交通、平安、城管、应急、经济、健康、环保等领域实现综合应用。</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i w:val="0"/>
          <w:caps w:val="0"/>
          <w:spacing w:val="0"/>
          <w:sz w:val="32"/>
          <w:szCs w:val="32"/>
          <w:shd w:val="clear"/>
          <w:lang w:eastAsia="zh-CN"/>
        </w:rPr>
      </w:pPr>
      <w:r>
        <w:rPr>
          <w:rFonts w:hint="eastAsia" w:ascii="仿宋" w:hAnsi="仿宋" w:eastAsia="仿宋" w:cs="仿宋"/>
          <w:sz w:val="32"/>
          <w:szCs w:val="32"/>
          <w:lang w:eastAsia="zh-CN"/>
        </w:rPr>
        <w:t>本市推行“秒批”政务服务改革。以“秒受理、秒审批、秒发证”为目标，通过流程优化、系统改造和数据共享，实现政务服务事项“秒批”。</w:t>
      </w:r>
      <w:r>
        <w:rPr>
          <w:rFonts w:hint="eastAsia" w:ascii="仿宋" w:hAnsi="仿宋" w:eastAsia="仿宋" w:cs="仿宋"/>
          <w:sz w:val="32"/>
          <w:szCs w:val="32"/>
          <w:lang w:val="en-US" w:eastAsia="zh-CN"/>
        </w:rPr>
        <w:t>2020年10月底前公布实施不少于150个“秒批”事项。</w:t>
      </w:r>
      <w:r>
        <w:rPr>
          <w:rFonts w:hint="eastAsia" w:ascii="仿宋" w:hAnsi="仿宋" w:eastAsia="仿宋" w:cs="仿宋"/>
          <w:i w:val="0"/>
          <w:caps w:val="0"/>
          <w:color w:val="auto"/>
          <w:spacing w:val="0"/>
          <w:sz w:val="32"/>
          <w:szCs w:val="32"/>
          <w:shd w:val="clear" w:fill="auto"/>
          <w:lang w:eastAsia="zh-CN"/>
        </w:rPr>
        <w:t>提升市区两级行政许可事项即办件比例，简易事项100%即来即办。</w:t>
      </w:r>
    </w:p>
    <w:p>
      <w:pPr>
        <w:widowControl/>
        <w:shd w:val="clear" w:color="auto" w:fill="FFFFFF"/>
        <w:spacing w:beforeLines="-2147483648" w:afterLines="-2147483648" w:line="579" w:lineRule="exact"/>
        <w:ind w:firstLine="640" w:firstLineChars="200"/>
        <w:outlineLvl w:val="9"/>
        <w:rPr>
          <w:rFonts w:hint="eastAsia" w:ascii="仿宋" w:hAnsi="仿宋" w:eastAsia="仿宋" w:cs="仿宋"/>
          <w:sz w:val="32"/>
          <w:szCs w:val="32"/>
        </w:rPr>
      </w:pPr>
      <w:r>
        <w:rPr>
          <w:rFonts w:hint="eastAsia" w:ascii="仿宋" w:hAnsi="仿宋" w:eastAsia="仿宋" w:cs="仿宋"/>
          <w:b w:val="0"/>
          <w:bCs w:val="0"/>
          <w:i w:val="0"/>
          <w:caps w:val="0"/>
          <w:color w:val="auto"/>
          <w:spacing w:val="0"/>
          <w:kern w:val="2"/>
          <w:sz w:val="32"/>
          <w:szCs w:val="32"/>
          <w:shd w:val="clear"/>
          <w:lang w:eastAsia="zh-CN"/>
        </w:rPr>
        <w:t>本市</w:t>
      </w:r>
      <w:r>
        <w:rPr>
          <w:rFonts w:hint="eastAsia" w:ascii="仿宋" w:hAnsi="仿宋" w:eastAsia="仿宋" w:cs="仿宋"/>
          <w:b w:val="0"/>
          <w:bCs w:val="0"/>
          <w:color w:val="auto"/>
          <w:kern w:val="2"/>
          <w:sz w:val="32"/>
          <w:szCs w:val="32"/>
          <w:lang w:eastAsia="zh-CN"/>
        </w:rPr>
        <w:t>取消互为前置条件的审批事项，全面推行行政审批告知承诺制</w:t>
      </w:r>
      <w:r>
        <w:rPr>
          <w:rFonts w:hint="eastAsia" w:ascii="仿宋" w:hAnsi="仿宋" w:eastAsia="仿宋" w:cs="仿宋"/>
          <w:i w:val="0"/>
          <w:caps w:val="0"/>
          <w:spacing w:val="0"/>
          <w:sz w:val="32"/>
          <w:szCs w:val="32"/>
          <w:shd w:val="clear"/>
          <w:lang w:eastAsia="zh-CN"/>
        </w:rPr>
        <w:t>。</w:t>
      </w:r>
      <w:r>
        <w:rPr>
          <w:rFonts w:hint="eastAsia" w:ascii="仿宋" w:hAnsi="仿宋" w:eastAsia="仿宋" w:cs="仿宋"/>
          <w:sz w:val="32"/>
          <w:szCs w:val="32"/>
        </w:rPr>
        <w:t>在符合法律法规的前提下，各审批事项及其内部环节之间不再互为前置条件</w:t>
      </w:r>
      <w:r>
        <w:rPr>
          <w:rFonts w:hint="eastAsia" w:ascii="仿宋" w:hAnsi="仿宋" w:eastAsia="仿宋" w:cs="仿宋"/>
          <w:i w:val="0"/>
          <w:caps w:val="0"/>
          <w:spacing w:val="0"/>
          <w:sz w:val="32"/>
          <w:szCs w:val="32"/>
          <w:shd w:val="clear"/>
        </w:rPr>
        <w:t>，最大限度消除制约审批</w:t>
      </w:r>
      <w:r>
        <w:rPr>
          <w:rFonts w:hint="eastAsia" w:ascii="仿宋" w:hAnsi="仿宋" w:eastAsia="仿宋" w:cs="仿宋"/>
          <w:i w:val="0"/>
          <w:caps w:val="0"/>
          <w:spacing w:val="0"/>
          <w:sz w:val="32"/>
          <w:szCs w:val="32"/>
          <w:shd w:val="clear"/>
          <w:lang w:eastAsia="zh-CN"/>
        </w:rPr>
        <w:t>效率</w:t>
      </w:r>
      <w:r>
        <w:rPr>
          <w:rFonts w:hint="eastAsia" w:ascii="仿宋" w:hAnsi="仿宋" w:eastAsia="仿宋" w:cs="仿宋"/>
          <w:i w:val="0"/>
          <w:caps w:val="0"/>
          <w:spacing w:val="0"/>
          <w:sz w:val="32"/>
          <w:szCs w:val="32"/>
          <w:shd w:val="clear"/>
        </w:rPr>
        <w:t>的体制障碍</w:t>
      </w:r>
      <w:r>
        <w:rPr>
          <w:rFonts w:hint="eastAsia" w:ascii="仿宋" w:hAnsi="仿宋" w:eastAsia="仿宋" w:cs="仿宋"/>
          <w:i w:val="0"/>
          <w:caps w:val="0"/>
          <w:spacing w:val="0"/>
          <w:sz w:val="32"/>
          <w:szCs w:val="32"/>
          <w:shd w:val="clear"/>
          <w:lang w:eastAsia="zh-CN"/>
        </w:rPr>
        <w:t>。</w:t>
      </w:r>
      <w:r>
        <w:rPr>
          <w:rFonts w:hint="eastAsia" w:ascii="仿宋" w:hAnsi="仿宋" w:eastAsia="仿宋" w:cs="仿宋"/>
          <w:sz w:val="32"/>
          <w:szCs w:val="32"/>
        </w:rPr>
        <w:t>推行行政审批告知承诺制</w:t>
      </w:r>
      <w:r>
        <w:rPr>
          <w:rFonts w:hint="eastAsia" w:ascii="仿宋" w:hAnsi="仿宋" w:eastAsia="仿宋" w:cs="仿宋"/>
          <w:sz w:val="32"/>
          <w:szCs w:val="32"/>
          <w:lang w:eastAsia="zh-CN"/>
        </w:rPr>
        <w:t>，</w:t>
      </w:r>
      <w:r>
        <w:rPr>
          <w:rFonts w:hint="eastAsia" w:ascii="仿宋" w:hAnsi="仿宋" w:eastAsia="仿宋" w:cs="仿宋"/>
          <w:sz w:val="32"/>
          <w:szCs w:val="32"/>
        </w:rPr>
        <w:t>在除直接涉及国家安全、公共安全、生态环境保护和人民群众生命健康财产安全等以外的行业、领域，全面推行政审批告知承诺制，市政务服务部门</w:t>
      </w:r>
      <w:r>
        <w:rPr>
          <w:rFonts w:hint="eastAsia" w:ascii="仿宋" w:hAnsi="仿宋" w:eastAsia="仿宋" w:cs="仿宋"/>
          <w:sz w:val="32"/>
          <w:szCs w:val="32"/>
          <w:lang w:eastAsia="zh-CN"/>
        </w:rPr>
        <w:t>组织</w:t>
      </w:r>
      <w:r>
        <w:rPr>
          <w:rFonts w:hint="eastAsia" w:ascii="仿宋" w:hAnsi="仿宋" w:eastAsia="仿宋" w:cs="仿宋"/>
          <w:sz w:val="32"/>
          <w:szCs w:val="32"/>
        </w:rPr>
        <w:t>有关政府部门制定告知承诺事项的具体范围和办理条件、标准、流程等，并向社会公布。</w:t>
      </w:r>
    </w:p>
    <w:p>
      <w:pPr>
        <w:widowControl/>
        <w:shd w:val="clear" w:color="auto" w:fill="FFFFFF"/>
        <w:spacing w:line="579" w:lineRule="exact"/>
        <w:ind w:firstLine="640" w:firstLineChars="200"/>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w:t>
      </w:r>
      <w:r>
        <w:rPr>
          <w:rFonts w:hint="eastAsia" w:ascii="仿宋" w:hAnsi="仿宋" w:eastAsia="仿宋" w:cs="仿宋"/>
          <w:sz w:val="32"/>
          <w:szCs w:val="32"/>
        </w:rPr>
        <w:t>持续优化工程建设项目（不包括特殊工程和交通、水利、能源等领域的重大工程）审批流程，推行并联审批、联合审图、联合验收等方式，严格落实各审批阶段“一家牵头、并联审批、限时办结”的要求，大幅提高审批效能</w:t>
      </w:r>
      <w:r>
        <w:rPr>
          <w:rFonts w:hint="eastAsia" w:ascii="仿宋" w:hAnsi="仿宋" w:eastAsia="仿宋" w:cs="仿宋"/>
          <w:b w:val="0"/>
          <w:sz w:val="32"/>
          <w:szCs w:val="32"/>
          <w:lang w:eastAsia="zh-CN"/>
        </w:rPr>
        <w:t>。</w:t>
      </w:r>
      <w:r>
        <w:rPr>
          <w:rFonts w:hint="eastAsia" w:ascii="仿宋" w:hAnsi="仿宋" w:eastAsia="仿宋" w:cs="仿宋"/>
          <w:sz w:val="32"/>
          <w:szCs w:val="32"/>
        </w:rPr>
        <w:t>优化建设用地审批的批前公示流程，合并建设项目用地预审与选址意见书和建设用地规划许可证的批前公示；政府公开出让用地和通过控制性详细规划修改、规划条件论证确定用地规划条件的用地，在办理建设用地规划许可证时不再进行批前公示。强化工程审批系统应用全覆盖，优化工程审批系统功能。提高“一个窗口”综合服务水平，加强工程审批系统线上线下融合，全面实现“一网通办”、“一站式”服务。规范“一张表单”内容和格式。依托城市工程审批系统，推动实施基于“一张表单”的审批清单服务机制。建立工程建设项目风险分级分类审批和监管制度</w:t>
      </w:r>
      <w:r>
        <w:rPr>
          <w:rFonts w:hint="eastAsia" w:ascii="仿宋" w:hAnsi="仿宋" w:eastAsia="仿宋" w:cs="仿宋"/>
          <w:sz w:val="32"/>
          <w:szCs w:val="32"/>
          <w:lang w:eastAsia="zh-CN"/>
        </w:rPr>
        <w:t>。</w:t>
      </w:r>
      <w:r>
        <w:rPr>
          <w:rFonts w:hint="eastAsia" w:ascii="仿宋" w:hAnsi="仿宋" w:eastAsia="仿宋" w:cs="仿宋"/>
          <w:sz w:val="32"/>
          <w:szCs w:val="32"/>
        </w:rPr>
        <w:t>研究制定社会投资低风险工程建设项目简易审批程序。</w:t>
      </w:r>
      <w:r>
        <w:rPr>
          <w:rFonts w:hint="eastAsia" w:ascii="仿宋" w:hAnsi="仿宋" w:eastAsia="仿宋" w:cs="仿宋"/>
          <w:sz w:val="32"/>
          <w:szCs w:val="32"/>
          <w:lang w:eastAsia="zh-CN"/>
        </w:rPr>
        <w:t>进一步压缩工程建设项目审批承诺时间至</w:t>
      </w:r>
      <w:r>
        <w:rPr>
          <w:rFonts w:hint="eastAsia" w:ascii="仿宋" w:hAnsi="仿宋" w:eastAsia="仿宋" w:cs="仿宋"/>
          <w:sz w:val="32"/>
          <w:szCs w:val="32"/>
          <w:lang w:val="en-US" w:eastAsia="zh-CN"/>
        </w:rPr>
        <w:t>45个工作日内</w:t>
      </w:r>
      <w:r>
        <w:rPr>
          <w:rFonts w:hint="eastAsia" w:ascii="仿宋" w:hAnsi="仿宋" w:eastAsia="仿宋" w:cs="仿宋"/>
          <w:sz w:val="32"/>
          <w:szCs w:val="32"/>
          <w:lang w:eastAsia="zh-CN"/>
        </w:rPr>
        <w:t>。</w:t>
      </w:r>
    </w:p>
    <w:p>
      <w:pPr>
        <w:widowControl/>
        <w:shd w:val="clear" w:color="auto" w:fill="FFFFFF"/>
        <w:spacing w:before="0" w:beforeAutospacing="0" w:after="0" w:afterAutospacing="0" w:line="579" w:lineRule="exact"/>
        <w:ind w:firstLine="640" w:firstLineChars="200"/>
        <w:jc w:val="both"/>
        <w:outlineLvl w:val="9"/>
        <w:rPr>
          <w:rFonts w:hint="eastAsia" w:ascii="仿宋" w:hAnsi="仿宋" w:eastAsia="仿宋" w:cs="仿宋"/>
          <w:sz w:val="32"/>
          <w:szCs w:val="32"/>
          <w:shd w:val="clear"/>
        </w:rPr>
      </w:pPr>
      <w:r>
        <w:rPr>
          <w:rFonts w:hint="eastAsia" w:ascii="仿宋" w:hAnsi="仿宋" w:eastAsia="仿宋" w:cs="仿宋"/>
          <w:i w:val="0"/>
          <w:caps w:val="0"/>
          <w:spacing w:val="0"/>
          <w:sz w:val="32"/>
          <w:szCs w:val="32"/>
          <w:shd w:val="clear"/>
          <w:lang w:eastAsia="zh-CN"/>
        </w:rPr>
        <w:t>本市</w:t>
      </w:r>
      <w:r>
        <w:rPr>
          <w:rFonts w:hint="eastAsia" w:ascii="仿宋" w:hAnsi="仿宋" w:eastAsia="仿宋" w:cs="仿宋"/>
          <w:i w:val="0"/>
          <w:caps w:val="0"/>
          <w:spacing w:val="0"/>
          <w:sz w:val="32"/>
          <w:szCs w:val="32"/>
          <w:shd w:val="clear"/>
        </w:rPr>
        <w:t>推进“</w:t>
      </w:r>
      <w:r>
        <w:rPr>
          <w:rFonts w:hint="eastAsia" w:ascii="仿宋" w:hAnsi="仿宋" w:eastAsia="仿宋" w:cs="仿宋"/>
          <w:i w:val="0"/>
          <w:caps w:val="0"/>
          <w:spacing w:val="0"/>
          <w:sz w:val="32"/>
          <w:szCs w:val="32"/>
          <w:shd w:val="clear"/>
          <w:lang w:eastAsia="zh-CN"/>
        </w:rPr>
        <w:t>政务服务事项</w:t>
      </w:r>
      <w:r>
        <w:rPr>
          <w:rFonts w:hint="eastAsia" w:ascii="仿宋" w:hAnsi="仿宋" w:eastAsia="仿宋" w:cs="仿宋"/>
          <w:i w:val="0"/>
          <w:caps w:val="0"/>
          <w:spacing w:val="0"/>
          <w:sz w:val="32"/>
          <w:szCs w:val="32"/>
          <w:shd w:val="clear"/>
          <w:lang w:eastAsia="zh-CN"/>
        </w:rPr>
        <w:t>全程网上办</w:t>
      </w:r>
      <w:r>
        <w:rPr>
          <w:rFonts w:hint="eastAsia" w:ascii="仿宋" w:hAnsi="仿宋" w:eastAsia="仿宋" w:cs="仿宋"/>
          <w:i w:val="0"/>
          <w:caps w:val="0"/>
          <w:spacing w:val="0"/>
          <w:sz w:val="32"/>
          <w:szCs w:val="32"/>
          <w:shd w:val="clear"/>
        </w:rPr>
        <w:t>”改革</w:t>
      </w:r>
      <w:r>
        <w:rPr>
          <w:rFonts w:hint="eastAsia" w:ascii="仿宋" w:hAnsi="仿宋" w:eastAsia="仿宋" w:cs="仿宋"/>
          <w:i w:val="0"/>
          <w:caps w:val="0"/>
          <w:spacing w:val="0"/>
          <w:sz w:val="32"/>
          <w:szCs w:val="32"/>
          <w:shd w:val="clear"/>
          <w:lang w:eastAsia="zh-CN"/>
        </w:rPr>
        <w:t>。</w:t>
      </w:r>
      <w:r>
        <w:rPr>
          <w:rFonts w:hint="eastAsia" w:ascii="仿宋" w:hAnsi="仿宋" w:eastAsia="仿宋" w:cs="仿宋"/>
          <w:sz w:val="32"/>
          <w:szCs w:val="32"/>
        </w:rPr>
        <w:t>实行“</w:t>
      </w:r>
      <w:r>
        <w:rPr>
          <w:rFonts w:hint="eastAsia" w:ascii="仿宋" w:hAnsi="仿宋" w:eastAsia="仿宋" w:cs="仿宋"/>
          <w:sz w:val="32"/>
          <w:szCs w:val="32"/>
          <w:shd w:val="clear"/>
          <w:lang w:eastAsia="zh-CN"/>
        </w:rPr>
        <w:t>一网、</w:t>
      </w:r>
      <w:r>
        <w:rPr>
          <w:rFonts w:hint="eastAsia" w:ascii="仿宋" w:hAnsi="仿宋" w:eastAsia="仿宋" w:cs="仿宋"/>
          <w:sz w:val="32"/>
          <w:szCs w:val="32"/>
        </w:rPr>
        <w:t>一门、一窗</w:t>
      </w:r>
      <w:r>
        <w:rPr>
          <w:rFonts w:hint="eastAsia" w:ascii="仿宋" w:hAnsi="仿宋" w:eastAsia="仿宋" w:cs="仿宋"/>
          <w:sz w:val="32"/>
          <w:szCs w:val="32"/>
          <w:lang w:eastAsia="zh-CN"/>
        </w:rPr>
        <w:t>、一次</w:t>
      </w:r>
      <w:r>
        <w:rPr>
          <w:rFonts w:hint="eastAsia" w:ascii="仿宋" w:hAnsi="仿宋" w:eastAsia="仿宋" w:cs="仿宋"/>
          <w:sz w:val="32"/>
          <w:szCs w:val="32"/>
        </w:rPr>
        <w:t>”改革，</w:t>
      </w:r>
      <w:r>
        <w:rPr>
          <w:rFonts w:hint="eastAsia" w:ascii="仿宋" w:hAnsi="仿宋" w:eastAsia="仿宋" w:cs="仿宋"/>
          <w:i w:val="0"/>
          <w:caps w:val="0"/>
          <w:spacing w:val="0"/>
          <w:sz w:val="32"/>
          <w:szCs w:val="32"/>
        </w:rPr>
        <w:t>推进所有政务服务事项上</w:t>
      </w:r>
      <w:r>
        <w:rPr>
          <w:rFonts w:hint="eastAsia" w:ascii="仿宋" w:hAnsi="仿宋" w:eastAsia="仿宋" w:cs="仿宋"/>
          <w:i w:val="0"/>
          <w:caps w:val="0"/>
          <w:spacing w:val="0"/>
          <w:sz w:val="32"/>
          <w:szCs w:val="32"/>
          <w:lang w:eastAsia="zh-CN"/>
        </w:rPr>
        <w:t>“一张网”</w:t>
      </w:r>
      <w:r>
        <w:rPr>
          <w:rFonts w:hint="eastAsia" w:ascii="仿宋" w:hAnsi="仿宋" w:eastAsia="仿宋" w:cs="仿宋"/>
          <w:i w:val="0"/>
          <w:caps w:val="0"/>
          <w:spacing w:val="0"/>
          <w:sz w:val="32"/>
          <w:szCs w:val="32"/>
        </w:rPr>
        <w:t>，充分运用电子证照、数据共享核验、电子印章、电子签名、双向物流快递、网上缴费等数字政府建设成果减少群众企业跑动次数，实现申请人无需到办事窗口现场（即零跑动）即可完成业务办理</w:t>
      </w:r>
      <w:r>
        <w:rPr>
          <w:rFonts w:hint="eastAsia" w:ascii="仿宋" w:hAnsi="仿宋" w:eastAsia="仿宋" w:cs="仿宋"/>
          <w:i w:val="0"/>
          <w:caps w:val="0"/>
          <w:spacing w:val="0"/>
          <w:sz w:val="32"/>
          <w:szCs w:val="32"/>
          <w:lang w:eastAsia="zh-CN"/>
        </w:rPr>
        <w:t>；</w:t>
      </w:r>
      <w:r>
        <w:rPr>
          <w:rFonts w:hint="eastAsia" w:ascii="仿宋" w:hAnsi="仿宋" w:eastAsia="仿宋" w:cs="仿宋"/>
          <w:i w:val="0"/>
          <w:caps w:val="0"/>
          <w:spacing w:val="0"/>
          <w:sz w:val="32"/>
          <w:szCs w:val="32"/>
        </w:rPr>
        <w:t>推动所有政务服务事项进</w:t>
      </w:r>
      <w:r>
        <w:rPr>
          <w:rFonts w:hint="eastAsia" w:ascii="仿宋" w:hAnsi="仿宋" w:eastAsia="仿宋" w:cs="仿宋"/>
          <w:i w:val="0"/>
          <w:caps w:val="0"/>
          <w:spacing w:val="0"/>
          <w:sz w:val="32"/>
          <w:szCs w:val="32"/>
          <w:lang w:eastAsia="zh-CN"/>
        </w:rPr>
        <w:t>“一扇门”</w:t>
      </w:r>
      <w:r>
        <w:rPr>
          <w:rFonts w:hint="eastAsia" w:ascii="仿宋" w:hAnsi="仿宋" w:eastAsia="仿宋" w:cs="仿宋"/>
          <w:i w:val="0"/>
          <w:caps w:val="0"/>
          <w:spacing w:val="0"/>
          <w:sz w:val="32"/>
          <w:szCs w:val="32"/>
        </w:rPr>
        <w:t>，在综合实体政务服务大厅实现“应进必进”并推行综合受理服务</w:t>
      </w:r>
      <w:r>
        <w:rPr>
          <w:rFonts w:hint="eastAsia" w:ascii="仿宋" w:hAnsi="仿宋" w:eastAsia="仿宋" w:cs="仿宋"/>
          <w:sz w:val="32"/>
          <w:szCs w:val="32"/>
        </w:rPr>
        <w:t>；打造政务服务综合窗口，实现“前台综合受理、后台分类审批、窗口统一出件”，集中提供事项咨询、收件、受理、审批、办结服务。设置“开办企业服务窗口”综合性窗口，一窗受理开办企业申请营业执照、刻制印章、申领发票(含税控设备)、就业和参保登记、住房公积金缴存登记业务，为企业一次性发放营业执照、公章、发票和税控设备等。</w:t>
      </w:r>
      <w:r>
        <w:rPr>
          <w:rFonts w:hint="eastAsia" w:ascii="仿宋" w:hAnsi="仿宋" w:eastAsia="仿宋" w:cs="仿宋"/>
          <w:sz w:val="32"/>
          <w:szCs w:val="32"/>
        </w:rPr>
        <w:t>整合房屋交易管理部门、税务部门和不动产登记部门窗口，因地制宜设立“一窗式”综合服务窗口，实现网签、登记、缴税、缴费、领证全流程1个环节1天办结。</w:t>
      </w:r>
      <w:r>
        <w:rPr>
          <w:rFonts w:hint="eastAsia" w:ascii="仿宋" w:hAnsi="仿宋" w:eastAsia="仿宋" w:cs="仿宋"/>
          <w:sz w:val="32"/>
          <w:szCs w:val="32"/>
        </w:rPr>
        <w:t>市人民政府按照方便企业、群众办事的原则梳理公布本市“最多跑一次”的事项清单，并按照国家和省有关规定实行动态调整，</w:t>
      </w:r>
      <w:r>
        <w:rPr>
          <w:rFonts w:hint="eastAsia" w:ascii="仿宋" w:hAnsi="仿宋" w:eastAsia="仿宋" w:cs="仿宋"/>
          <w:sz w:val="32"/>
          <w:szCs w:val="32"/>
          <w:shd w:val="clear"/>
          <w:lang w:eastAsia="zh-CN"/>
        </w:rPr>
        <w:t>逐步</w:t>
      </w:r>
      <w:r>
        <w:rPr>
          <w:rFonts w:hint="eastAsia" w:ascii="仿宋" w:hAnsi="仿宋" w:eastAsia="仿宋" w:cs="仿宋"/>
          <w:sz w:val="32"/>
          <w:szCs w:val="32"/>
          <w:shd w:val="clear"/>
        </w:rPr>
        <w:t>实现市、区依申请政务服务事项100% “最多跑一次”。</w:t>
      </w:r>
      <w:r>
        <w:rPr>
          <w:rFonts w:hint="eastAsia" w:ascii="仿宋" w:hAnsi="仿宋" w:eastAsia="仿宋" w:cs="仿宋"/>
          <w:sz w:val="32"/>
          <w:szCs w:val="32"/>
        </w:rPr>
        <w:t>增加“全城通办”事项数量和覆盖面，在2020年10月底前，市级全部政务服务事项80%实现“全城通办”，与群众联系密切的民生服务事项100%实现“全城通办”，群众办理量排名前200项的政务服务高频事项85%实现“全城通办”。每年动态更新“全城通办”事项清单，向社会公布实施。</w:t>
      </w:r>
    </w:p>
    <w:p>
      <w:pPr>
        <w:widowControl/>
        <w:shd w:val="clear" w:color="auto" w:fill="FFFFFF"/>
        <w:spacing w:before="0" w:beforeAutospacing="0" w:after="0" w:afterAutospacing="0" w:line="579" w:lineRule="exact"/>
        <w:ind w:firstLine="640" w:firstLineChars="200"/>
        <w:jc w:val="both"/>
        <w:outlineLvl w:val="9"/>
        <w:rPr>
          <w:rFonts w:hint="eastAsia" w:ascii="仿宋" w:hAnsi="仿宋" w:eastAsia="仿宋" w:cs="仿宋"/>
          <w:sz w:val="32"/>
          <w:szCs w:val="32"/>
          <w:lang w:bidi="ar"/>
        </w:rPr>
      </w:pPr>
      <w:r>
        <w:rPr>
          <w:rFonts w:hint="eastAsia" w:ascii="仿宋" w:hAnsi="仿宋" w:eastAsia="仿宋" w:cs="仿宋"/>
          <w:kern w:val="2"/>
          <w:sz w:val="32"/>
          <w:szCs w:val="32"/>
          <w:lang w:eastAsia="zh-CN"/>
        </w:rPr>
        <w:t>本市</w:t>
      </w:r>
      <w:r>
        <w:rPr>
          <w:rFonts w:hint="eastAsia" w:ascii="仿宋" w:hAnsi="仿宋" w:eastAsia="仿宋" w:cs="仿宋"/>
          <w:kern w:val="2"/>
          <w:sz w:val="32"/>
          <w:szCs w:val="32"/>
        </w:rPr>
        <w:t>优化水电气审批流程</w:t>
      </w:r>
      <w:r>
        <w:rPr>
          <w:rFonts w:hint="eastAsia" w:ascii="仿宋" w:hAnsi="仿宋" w:eastAsia="仿宋" w:cs="仿宋"/>
          <w:kern w:val="2"/>
          <w:sz w:val="32"/>
          <w:szCs w:val="32"/>
          <w:lang w:eastAsia="zh-CN"/>
        </w:rPr>
        <w:t>。供水、供电、供气公司</w:t>
      </w:r>
      <w:r>
        <w:rPr>
          <w:rFonts w:hint="eastAsia" w:ascii="仿宋" w:hAnsi="仿宋" w:eastAsia="仿宋" w:cs="仿宋"/>
          <w:kern w:val="2"/>
          <w:sz w:val="32"/>
          <w:szCs w:val="32"/>
        </w:rPr>
        <w:t>规范公示办理时限、服务标准、资费标准</w:t>
      </w:r>
      <w:r>
        <w:rPr>
          <w:rFonts w:hint="eastAsia" w:ascii="仿宋" w:hAnsi="仿宋" w:eastAsia="仿宋" w:cs="仿宋"/>
          <w:kern w:val="2"/>
          <w:sz w:val="32"/>
          <w:szCs w:val="32"/>
          <w:lang w:eastAsia="zh-CN"/>
        </w:rPr>
        <w:t>。</w:t>
      </w:r>
      <w:r>
        <w:rPr>
          <w:rFonts w:hint="eastAsia" w:ascii="仿宋" w:hAnsi="仿宋" w:eastAsia="仿宋" w:cs="仿宋"/>
          <w:sz w:val="32"/>
          <w:szCs w:val="32"/>
          <w:lang w:bidi="ar"/>
        </w:rPr>
        <w:t>依托珠海市工程建设项目审批管理系统</w:t>
      </w:r>
      <w:r>
        <w:rPr>
          <w:rFonts w:hint="eastAsia" w:ascii="仿宋" w:hAnsi="仿宋" w:eastAsia="仿宋" w:cs="仿宋"/>
          <w:sz w:val="32"/>
          <w:szCs w:val="32"/>
          <w:lang w:eastAsia="zh-CN" w:bidi="ar"/>
        </w:rPr>
        <w:t>，实行</w:t>
      </w:r>
      <w:r>
        <w:rPr>
          <w:rFonts w:hint="eastAsia" w:ascii="仿宋" w:hAnsi="仿宋" w:eastAsia="仿宋" w:cs="仿宋"/>
          <w:b w:val="0"/>
          <w:bCs w:val="0"/>
          <w:kern w:val="0"/>
          <w:sz w:val="32"/>
          <w:szCs w:val="32"/>
        </w:rPr>
        <w:t>水电气报装外线工程</w:t>
      </w:r>
      <w:r>
        <w:rPr>
          <w:rFonts w:hint="eastAsia" w:ascii="仿宋" w:hAnsi="仿宋" w:eastAsia="仿宋" w:cs="仿宋"/>
          <w:b w:val="0"/>
          <w:bCs w:val="0"/>
          <w:kern w:val="2"/>
          <w:sz w:val="32"/>
          <w:szCs w:val="32"/>
          <w:lang w:eastAsia="zh-CN"/>
        </w:rPr>
        <w:t>施工</w:t>
      </w:r>
      <w:r>
        <w:rPr>
          <w:rFonts w:hint="eastAsia" w:ascii="仿宋" w:hAnsi="仿宋" w:eastAsia="仿宋" w:cs="仿宋"/>
          <w:b w:val="0"/>
          <w:bCs w:val="0"/>
          <w:kern w:val="0"/>
          <w:sz w:val="32"/>
          <w:szCs w:val="32"/>
        </w:rPr>
        <w:t>报建</w:t>
      </w:r>
      <w:r>
        <w:rPr>
          <w:rFonts w:hint="eastAsia" w:ascii="仿宋" w:hAnsi="仿宋" w:eastAsia="仿宋" w:cs="仿宋"/>
          <w:b w:val="0"/>
          <w:bCs w:val="0"/>
          <w:kern w:val="2"/>
          <w:sz w:val="32"/>
          <w:szCs w:val="32"/>
          <w:lang w:eastAsia="zh-CN"/>
        </w:rPr>
        <w:t>“容缺受理、并联审批”，</w:t>
      </w:r>
      <w:r>
        <w:rPr>
          <w:rFonts w:hint="eastAsia" w:ascii="仿宋" w:hAnsi="仿宋" w:eastAsia="仿宋" w:cs="仿宋"/>
          <w:sz w:val="32"/>
          <w:szCs w:val="32"/>
          <w:lang w:bidi="ar"/>
        </w:rPr>
        <w:t>外线工程报建涉及的相关行政审批总时间不超过5个工作日。</w:t>
      </w:r>
    </w:p>
    <w:bookmarkEnd w:id="0"/>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六、</w:t>
      </w:r>
      <w:r>
        <w:rPr>
          <w:rFonts w:hint="eastAsia" w:ascii="仿宋" w:hAnsi="仿宋" w:eastAsia="仿宋" w:cs="仿宋"/>
          <w:b/>
          <w:bCs/>
          <w:sz w:val="32"/>
          <w:szCs w:val="32"/>
          <w:lang w:eastAsia="zh-CN"/>
        </w:rPr>
        <w:t>【打造稳定透明的法治环境】</w:t>
      </w:r>
      <w:r>
        <w:rPr>
          <w:rFonts w:hint="eastAsia" w:ascii="仿宋" w:hAnsi="仿宋" w:eastAsia="仿宋" w:cs="仿宋"/>
          <w:b w:val="0"/>
          <w:bCs w:val="0"/>
          <w:sz w:val="32"/>
          <w:szCs w:val="32"/>
          <w:lang w:eastAsia="zh-CN"/>
        </w:rPr>
        <w:t>本市依法保护市场主体合法财产。建立涉政府产权纠纷治理长效机制。严格按照法定程序采取查封、扣押、冻结等措施，依法严格区分违法所得、其他涉案财产与合法财产，严格区分企业法人财产与股东个人财产，严格区分涉案人员个人财产与家庭成员财产。建立因政府规划调整、政策变化造成企业合法权益受损的依法依规补偿救济机制。</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市依法保护市场主体自主经营权。市场主体依法进行自主经营活动，各级政府、部门及其工作人员不得干预。对政府性基金、涉企行政事业性收费、涉企保证金以及实行政府定价的经营服务性收费，实行目录清单管理并向社会公开。清理涉企收费、摊派事项和各类达标评比活动。依法保障市场主体自主加入和退出行业协会商会的权利。</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市完善多元化纠纷解决机制，解决执行难问题，提高办理破产案件效率。完善调解、仲裁、行政裁决、行政复议、诉讼等有机衔接、相互协调的多元化纠纷解决机制，为市场主体提供高效、便捷的纠纷解决途径。强化执行难源头治理制度建设，推动综合治理执行难工作格局，支持人民法院与协助执行单位实现网络对接与信息共享。推进完善市场化、法治化的破产制度，支持人民法院探索建立重整识别、预重整等破产拯救机制，完善破产案件繁简分流、简易破产案件快速审理等机制。</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市实行最严格的知识产权保护。理顺知识产权综合管理和执法体制，加强跨区域知识产权执法协作机制。依法实行知识产权侵权惩罚性赔偿制度。充分发挥中国（珠海）知识产权保护中心的作用，在高端制造、家电等领域大幅缩短专利审批周期。推动建立知识产权快速协同保护机制。完善行政保护与司法保护衔接机制。探索开展知识产权公益诉讼，完善知识产权快速维权援助机制，提供知识产权保护的侵权预警、法律服务和司法救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eastAsia="zh-CN"/>
        </w:rPr>
        <w:t>七、</w:t>
      </w:r>
      <w:r>
        <w:rPr>
          <w:rFonts w:hint="eastAsia" w:ascii="仿宋" w:hAnsi="仿宋" w:eastAsia="仿宋" w:cs="仿宋"/>
          <w:b/>
          <w:bCs/>
          <w:sz w:val="32"/>
          <w:szCs w:val="32"/>
          <w:lang w:eastAsia="zh-CN"/>
        </w:rPr>
        <w:t>【打造与国际接轨的开放环境】</w:t>
      </w:r>
      <w:r>
        <w:rPr>
          <w:rFonts w:hint="eastAsia" w:ascii="仿宋" w:hAnsi="仿宋" w:eastAsia="仿宋" w:cs="仿宋"/>
          <w:sz w:val="32"/>
          <w:szCs w:val="32"/>
          <w:lang w:eastAsia="zh-CN"/>
        </w:rPr>
        <w:t>本市聚焦对澳规则制度衔接，</w:t>
      </w:r>
      <w:r>
        <w:rPr>
          <w:rFonts w:hint="eastAsia" w:ascii="仿宋" w:hAnsi="仿宋" w:eastAsia="仿宋" w:cs="仿宋"/>
          <w:sz w:val="32"/>
          <w:szCs w:val="32"/>
        </w:rPr>
        <w:t>建立与国际高标准投资和贸易规则相适应的制度规则。建设粤澳深度合作</w:t>
      </w:r>
      <w:r>
        <w:rPr>
          <w:rFonts w:hint="eastAsia" w:ascii="仿宋" w:hAnsi="仿宋" w:eastAsia="仿宋" w:cs="仿宋"/>
          <w:sz w:val="32"/>
          <w:szCs w:val="32"/>
          <w:lang w:eastAsia="zh-CN"/>
        </w:rPr>
        <w:t>示范</w:t>
      </w:r>
      <w:r>
        <w:rPr>
          <w:rFonts w:hint="eastAsia" w:ascii="仿宋" w:hAnsi="仿宋" w:eastAsia="仿宋" w:cs="仿宋"/>
          <w:sz w:val="32"/>
          <w:szCs w:val="32"/>
        </w:rPr>
        <w:t>区，</w:t>
      </w:r>
      <w:r>
        <w:rPr>
          <w:rFonts w:hint="eastAsia" w:ascii="仿宋" w:hAnsi="仿宋" w:eastAsia="仿宋" w:cs="仿宋"/>
          <w:sz w:val="32"/>
          <w:szCs w:val="32"/>
          <w:lang w:eastAsia="zh-CN"/>
        </w:rPr>
        <w:t>推动完善和报批《粤澳（横琴）深度合作区总体方案》。编制优化横琴“分线管理”实施方案。</w:t>
      </w:r>
      <w:r>
        <w:rPr>
          <w:rFonts w:hint="eastAsia" w:ascii="仿宋" w:hAnsi="仿宋" w:eastAsia="仿宋" w:cs="仿宋"/>
          <w:sz w:val="32"/>
          <w:szCs w:val="32"/>
        </w:rPr>
        <w:t>以横琴为主平台支持澳门经济适度多元发展</w:t>
      </w:r>
      <w:r>
        <w:rPr>
          <w:rFonts w:hint="eastAsia" w:ascii="仿宋" w:hAnsi="仿宋" w:eastAsia="仿宋" w:cs="仿宋"/>
          <w:sz w:val="32"/>
          <w:szCs w:val="32"/>
          <w:lang w:eastAsia="zh-CN"/>
        </w:rPr>
        <w:t>，构建横琴促进澳门产业多元发展指标体系，联合澳门共同编制产业规划。借鉴特斯拉上海超级工厂审批经验做法，对于澳门投资项目实现一图统筹、双线审批、特事特办。</w:t>
      </w:r>
      <w:r>
        <w:rPr>
          <w:rFonts w:hint="eastAsia" w:ascii="仿宋" w:hAnsi="仿宋" w:eastAsia="仿宋" w:cs="仿宋"/>
          <w:kern w:val="2"/>
          <w:sz w:val="32"/>
          <w:szCs w:val="32"/>
          <w:lang w:val="zh-CN"/>
        </w:rPr>
        <w:t>探索延伸澳门自由港部分政策规则制度，打通珠澳人流、物流、资金流、信息流和技术流跨境流动障碍。</w:t>
      </w:r>
      <w:r>
        <w:rPr>
          <w:rFonts w:hint="eastAsia" w:ascii="仿宋" w:hAnsi="仿宋" w:eastAsia="仿宋" w:cs="仿宋"/>
          <w:sz w:val="32"/>
          <w:szCs w:val="32"/>
          <w:lang w:eastAsia="zh-CN"/>
        </w:rPr>
        <w:t>推动与澳门在商事制度、工程建设、投资贸易、纳税、跨境金融、通关便利等方面的规则衔接。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本市持续构造对外开放新格局</w:t>
      </w:r>
      <w:r>
        <w:rPr>
          <w:rFonts w:hint="eastAsia" w:ascii="仿宋" w:hAnsi="仿宋" w:eastAsia="仿宋" w:cs="仿宋"/>
          <w:sz w:val="32"/>
          <w:szCs w:val="32"/>
          <w:lang w:eastAsia="zh-CN"/>
        </w:rPr>
        <w:t>，</w:t>
      </w:r>
      <w:r>
        <w:rPr>
          <w:rFonts w:hint="eastAsia" w:ascii="仿宋" w:hAnsi="仿宋" w:eastAsia="仿宋" w:cs="仿宋"/>
          <w:sz w:val="32"/>
          <w:szCs w:val="32"/>
        </w:rPr>
        <w:t>按照国家部署，打造实施“一带一路”倡议的支点，深化与沿线国家和地区在设施联通、贸易畅通、资金融通、民心相通等方面合作。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八、</w:t>
      </w:r>
      <w:r>
        <w:rPr>
          <w:rFonts w:hint="eastAsia" w:ascii="仿宋" w:hAnsi="仿宋" w:eastAsia="仿宋" w:cs="仿宋"/>
          <w:b/>
          <w:bCs/>
          <w:sz w:val="32"/>
          <w:szCs w:val="32"/>
          <w:lang w:eastAsia="zh-CN"/>
        </w:rPr>
        <w:t>【完善要素市场化配置体制机制】</w:t>
      </w:r>
      <w:r>
        <w:rPr>
          <w:rFonts w:hint="eastAsia" w:ascii="仿宋" w:hAnsi="仿宋" w:eastAsia="仿宋" w:cs="仿宋"/>
          <w:sz w:val="32"/>
          <w:szCs w:val="32"/>
          <w:lang w:eastAsia="zh-CN"/>
        </w:rPr>
        <w:t>本市推进土地要素市场化配置。健全长期租赁、先租后让、弹性年期供应等工业用地市场体系机制。建立运用市场机制盘活存量土地和低效土地机制。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本市引导劳动力要素畅通有序流动。完善并实施</w:t>
      </w:r>
      <w:r>
        <w:rPr>
          <w:rFonts w:hint="eastAsia" w:ascii="仿宋" w:hAnsi="仿宋" w:eastAsia="仿宋" w:cs="仿宋"/>
          <w:sz w:val="32"/>
          <w:szCs w:val="32"/>
        </w:rPr>
        <w:t>珠三角最宽松的人才优先引进政策</w:t>
      </w:r>
      <w:r>
        <w:rPr>
          <w:rFonts w:hint="eastAsia" w:ascii="仿宋" w:hAnsi="仿宋" w:eastAsia="仿宋" w:cs="仿宋"/>
          <w:sz w:val="32"/>
          <w:szCs w:val="32"/>
          <w:lang w:eastAsia="zh-CN"/>
        </w:rPr>
        <w:t>。市人民政府各有关部门研究制定在职业资格认定认可、子女教育、商业医疗保险等方面为引进人才提供便利的政策措施。探索实施人力资本入股办法。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推进资本要素市场化配置。健全多层次资本市场体系，增加服务小微企业和民营企业的金融服务供给。有序扩大金融业对外开放，建设粤澳跨境金融合作（珠海）示范区，推动融资租赁、供应链金融、财富管理等特色金融产业集聚。探索设立集产品定价、交易、结算、金融服务于供应链管理于一体的双向跨境投融资平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本市加快发展技术要素市场。培育发展技术转移机构，</w:t>
      </w:r>
      <w:r>
        <w:rPr>
          <w:rFonts w:hint="eastAsia" w:ascii="仿宋" w:hAnsi="仿宋" w:eastAsia="仿宋" w:cs="仿宋"/>
          <w:i w:val="0"/>
          <w:caps w:val="0"/>
          <w:color w:val="auto"/>
          <w:spacing w:val="0"/>
          <w:sz w:val="32"/>
          <w:szCs w:val="32"/>
          <w:shd w:val="clear" w:fill="auto"/>
        </w:rPr>
        <w:t>积极探索通过天使投资、创业投资、知识产权证券化、科技保险等方式推动科技成果资本化</w:t>
      </w:r>
      <w:r>
        <w:rPr>
          <w:rFonts w:hint="eastAsia" w:ascii="仿宋" w:hAnsi="仿宋" w:eastAsia="仿宋" w:cs="仿宋"/>
          <w:sz w:val="32"/>
          <w:szCs w:val="32"/>
          <w:lang w:eastAsia="zh-CN"/>
        </w:rPr>
        <w:t>。鼓励商业银行采用知识产权质押、预期收益质押等融资方式提供金融产品服务。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本市加快培育数据要素市场。研究制定珠海发展数字经济总体规划，加快建设一批</w:t>
      </w:r>
      <w:r>
        <w:rPr>
          <w:rFonts w:hint="eastAsia" w:ascii="仿宋" w:hAnsi="仿宋" w:eastAsia="仿宋" w:cs="仿宋"/>
          <w:sz w:val="32"/>
          <w:szCs w:val="32"/>
          <w:lang w:val="en-US" w:eastAsia="zh-CN"/>
        </w:rPr>
        <w:t>5G网络、人工智能、数据中心等数字基础设施及相关配套设施。以横琴为主平台，加快培育引进头部企业引领数字产业化。打造专业化数字经济园区，布局大数据“双创”平台。为数字经济发展提供法治保障，用足用好经济特区立法权，在制定数据采集、产权保护、数据传输、跨境传输、安全保护等方面法律法规上先试先行。</w:t>
      </w:r>
    </w:p>
    <w:p>
      <w:pPr>
        <w:numPr>
          <w:ilvl w:val="-1"/>
          <w:numId w:val="0"/>
        </w:numPr>
        <w:shd w:val="clear" w:color="auto" w:fill="FFFFFF"/>
        <w:spacing w:beforeLines="0" w:afterLines="0" w:line="579" w:lineRule="exact"/>
        <w:ind w:firstLine="640" w:firstLineChars="200"/>
        <w:jc w:val="both"/>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九、</w:t>
      </w:r>
      <w:r>
        <w:rPr>
          <w:rFonts w:hint="eastAsia" w:ascii="仿宋" w:hAnsi="仿宋" w:eastAsia="仿宋" w:cs="仿宋"/>
          <w:b/>
          <w:bCs/>
          <w:sz w:val="32"/>
          <w:szCs w:val="32"/>
          <w:lang w:eastAsia="zh-CN"/>
        </w:rPr>
        <w:t>【破解营商环境关键环节堵点难点】</w:t>
      </w:r>
      <w:r>
        <w:rPr>
          <w:rFonts w:hint="eastAsia" w:ascii="仿宋" w:hAnsi="仿宋" w:eastAsia="仿宋" w:cs="仿宋"/>
          <w:color w:val="auto"/>
          <w:sz w:val="32"/>
          <w:szCs w:val="32"/>
          <w:lang w:eastAsia="zh-CN"/>
        </w:rPr>
        <w:t>市人民政府各有关部门以世界银行营商环境评价体系为引领</w:t>
      </w:r>
      <w:r>
        <w:rPr>
          <w:rFonts w:hint="eastAsia" w:ascii="仿宋" w:hAnsi="仿宋" w:eastAsia="仿宋" w:cs="仿宋"/>
          <w:sz w:val="32"/>
          <w:szCs w:val="32"/>
          <w:lang w:eastAsia="zh-CN"/>
        </w:rPr>
        <w:t>，围绕优化企业全生命周期服务，针对开办企业、办理建筑许可、获得用电用水用气、不动产登记、纳税、跨境贸易、办理破产、获得信贷、保护中小投资者、执行合同、劳动力市场监管、政府采购、招标投标、政务服务、知识产权创造及保护和运用、市场监管、包容普惠创新等营商环境的关键环节，</w:t>
      </w:r>
      <w:r>
        <w:rPr>
          <w:rFonts w:hint="eastAsia" w:ascii="仿宋" w:hAnsi="仿宋" w:eastAsia="仿宋" w:cs="仿宋"/>
          <w:color w:val="auto"/>
          <w:sz w:val="32"/>
          <w:szCs w:val="32"/>
          <w:lang w:eastAsia="zh-CN"/>
        </w:rPr>
        <w:t>以市</w:t>
      </w:r>
      <w:r>
        <w:rPr>
          <w:rFonts w:hint="eastAsia" w:ascii="仿宋" w:hAnsi="仿宋" w:eastAsia="仿宋" w:cs="仿宋"/>
          <w:sz w:val="32"/>
          <w:szCs w:val="32"/>
          <w:lang w:eastAsia="zh-CN"/>
        </w:rPr>
        <w:t>场主体满意度为导向、以国内先进城市为标杆，制定</w:t>
      </w:r>
      <w:r>
        <w:rPr>
          <w:rFonts w:hint="eastAsia" w:ascii="仿宋" w:hAnsi="仿宋" w:eastAsia="仿宋" w:cs="仿宋"/>
          <w:sz w:val="32"/>
          <w:szCs w:val="32"/>
          <w:lang w:val="en-US" w:eastAsia="zh-CN"/>
        </w:rPr>
        <w:t>各自领域“补短板”、“强弱项”工作方案和配套政策，着力减流程、减时间、减成本、优服务</w:t>
      </w:r>
      <w:r>
        <w:rPr>
          <w:rFonts w:hint="eastAsia" w:ascii="仿宋" w:hAnsi="仿宋" w:eastAsia="仿宋" w:cs="仿宋"/>
          <w:sz w:val="32"/>
          <w:szCs w:val="32"/>
          <w:lang w:eastAsia="zh-CN"/>
        </w:rPr>
        <w:t>，持续</w:t>
      </w:r>
      <w:r>
        <w:rPr>
          <w:rFonts w:hint="eastAsia" w:ascii="仿宋" w:hAnsi="仿宋" w:eastAsia="仿宋" w:cs="仿宋"/>
          <w:color w:val="auto"/>
          <w:sz w:val="32"/>
          <w:szCs w:val="32"/>
          <w:lang w:eastAsia="zh-CN"/>
        </w:rPr>
        <w:t>动态优化</w:t>
      </w:r>
      <w:r>
        <w:rPr>
          <w:rStyle w:val="7"/>
          <w:rFonts w:hint="eastAsia" w:ascii="仿宋" w:hAnsi="仿宋" w:eastAsia="仿宋" w:cs="仿宋"/>
          <w:i w:val="0"/>
          <w:caps w:val="0"/>
          <w:color w:val="auto"/>
          <w:spacing w:val="0"/>
          <w:sz w:val="32"/>
          <w:szCs w:val="32"/>
          <w:shd w:val="clear" w:fill="auto"/>
        </w:rPr>
        <w:t>营商环境</w:t>
      </w:r>
      <w:r>
        <w:rPr>
          <w:rStyle w:val="7"/>
          <w:rFonts w:hint="eastAsia" w:ascii="仿宋" w:hAnsi="仿宋" w:eastAsia="仿宋" w:cs="仿宋"/>
          <w:i w:val="0"/>
          <w:caps w:val="0"/>
          <w:color w:val="auto"/>
          <w:spacing w:val="0"/>
          <w:sz w:val="32"/>
          <w:szCs w:val="32"/>
          <w:shd w:val="clear" w:fill="auto"/>
          <w:lang w:eastAsia="zh-CN"/>
        </w:rPr>
        <w:t>，</w:t>
      </w:r>
      <w:r>
        <w:rPr>
          <w:rFonts w:hint="eastAsia" w:ascii="仿宋" w:hAnsi="仿宋" w:eastAsia="仿宋" w:cs="仿宋"/>
          <w:color w:val="auto"/>
          <w:sz w:val="32"/>
          <w:szCs w:val="32"/>
          <w:lang w:eastAsia="zh-CN"/>
        </w:rPr>
        <w:t>保持珠海市营商环境指数处于广东省前列。</w:t>
      </w:r>
    </w:p>
    <w:p>
      <w:pPr>
        <w:widowControl/>
        <w:numPr>
          <w:ilvl w:val="-1"/>
          <w:numId w:val="0"/>
        </w:numPr>
        <w:shd w:val="clear" w:color="auto" w:fill="FFFFFF"/>
        <w:spacing w:line="579" w:lineRule="exact"/>
        <w:ind w:firstLine="640" w:firstLineChars="200"/>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十、</w:t>
      </w:r>
      <w:r>
        <w:rPr>
          <w:rFonts w:hint="eastAsia" w:ascii="仿宋" w:hAnsi="仿宋" w:eastAsia="仿宋" w:cs="仿宋"/>
          <w:b/>
          <w:bCs/>
          <w:sz w:val="32"/>
          <w:szCs w:val="32"/>
          <w:lang w:eastAsia="zh-CN"/>
        </w:rPr>
        <w:t>【创新政企互动机制】</w:t>
      </w:r>
      <w:r>
        <w:rPr>
          <w:rFonts w:hint="eastAsia" w:ascii="仿宋" w:hAnsi="仿宋" w:eastAsia="仿宋" w:cs="仿宋"/>
          <w:b w:val="0"/>
          <w:bCs w:val="0"/>
          <w:sz w:val="32"/>
          <w:szCs w:val="32"/>
          <w:lang w:eastAsia="zh-CN"/>
        </w:rPr>
        <w:t>本市完善涉企政策制定与执行机制。各级政府及有关部门制定与市场主体生产经营活动密切相关的政策措施过程中，要科学评估拟设立制度对各类企业、行业可能产生的影响及其程度、范围，按照国务院的规定通过多种方式充分听取市场主体、行业协会商会的意见。完善意见研究采纳反馈机制，认真分析研究并吸收采纳合理意见，向社会公布采纳情况。保持政策连续性稳定性，结合实际设置合理的缓冲期。政策执行坚持实事求是，不搞“一刀切”。健全涉企政策落实评估机制，加强政策实施情况的跟踪分析，完善涉企政策调整程序。</w:t>
      </w:r>
      <w:r>
        <w:rPr>
          <w:rFonts w:hint="eastAsia" w:ascii="仿宋" w:hAnsi="仿宋" w:eastAsia="仿宋" w:cs="仿宋"/>
          <w:sz w:val="32"/>
          <w:szCs w:val="32"/>
          <w:lang w:eastAsia="zh-CN"/>
        </w:rPr>
        <w:t>开展涉企政策研究推送、为对口服务的企业开展点对点推送、集中宣讲培训、送政策上门等多种形式的“送政策进企业”活动。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本市建立规范化政企沟通机制。各级党政主要负责同志要采取多种方式听取企业意见和诉求，畅通企业家提出意见诉求通道。</w:t>
      </w:r>
      <w:r>
        <w:rPr>
          <w:rFonts w:hint="eastAsia" w:ascii="仿宋" w:hAnsi="仿宋" w:eastAsia="仿宋" w:cs="仿宋"/>
          <w:sz w:val="32"/>
          <w:szCs w:val="32"/>
        </w:rPr>
        <w:t>落实领导干部挂点联系服务企业机制，各涉企服务部门副处级以上领导干部至少挂点联系服务3家企业，每月为每家企业送服务上门不少于1次，每次切实解决不少于1个企业反映的合理合规问题。建立政企定期协商座谈机制</w:t>
      </w:r>
      <w:r>
        <w:rPr>
          <w:rFonts w:hint="eastAsia" w:ascii="仿宋" w:hAnsi="仿宋" w:eastAsia="仿宋" w:cs="仿宋"/>
          <w:sz w:val="32"/>
          <w:szCs w:val="32"/>
          <w:lang w:eastAsia="zh-CN"/>
        </w:rPr>
        <w:t>，</w:t>
      </w:r>
      <w:r>
        <w:rPr>
          <w:rFonts w:hint="eastAsia" w:ascii="仿宋" w:hAnsi="仿宋" w:eastAsia="仿宋" w:cs="仿宋"/>
          <w:sz w:val="32"/>
          <w:szCs w:val="32"/>
        </w:rPr>
        <w:t>每年不少于2次召开政企协商座谈，了解企业在金融融资、转型升级、人才政策、市场拓展、业务交流、税费减免等方面的困难，能解决的当场解决，不能当场解决的要在5个工作日内提出解决方案，其中民营企业专场要达到50%以上比例。</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本市</w:t>
      </w:r>
      <w:r>
        <w:rPr>
          <w:rFonts w:hint="eastAsia" w:ascii="仿宋" w:hAnsi="仿宋" w:eastAsia="仿宋" w:cs="仿宋"/>
          <w:sz w:val="32"/>
          <w:szCs w:val="32"/>
        </w:rPr>
        <w:t>打造</w:t>
      </w:r>
      <w:r>
        <w:rPr>
          <w:rFonts w:hint="eastAsia" w:ascii="仿宋" w:hAnsi="仿宋" w:eastAsia="仿宋" w:cs="仿宋"/>
          <w:i w:val="0"/>
          <w:caps w:val="0"/>
          <w:color w:val="auto"/>
          <w:spacing w:val="0"/>
          <w:sz w:val="32"/>
          <w:szCs w:val="32"/>
          <w:shd w:val="clear" w:color="auto" w:fill="auto"/>
        </w:rPr>
        <w:t>营商环境咨询和投诉举报</w:t>
      </w:r>
      <w:r>
        <w:rPr>
          <w:rFonts w:hint="eastAsia" w:ascii="仿宋" w:hAnsi="仿宋" w:eastAsia="仿宋" w:cs="仿宋"/>
          <w:sz w:val="32"/>
          <w:szCs w:val="32"/>
        </w:rPr>
        <w:t>综合型平台</w:t>
      </w:r>
      <w:r>
        <w:rPr>
          <w:rFonts w:hint="eastAsia" w:ascii="仿宋" w:hAnsi="仿宋" w:eastAsia="仿宋" w:cs="仿宋"/>
          <w:sz w:val="32"/>
          <w:szCs w:val="32"/>
          <w:lang w:eastAsia="zh-CN"/>
        </w:rPr>
        <w:t>。</w:t>
      </w:r>
      <w:r>
        <w:rPr>
          <w:rFonts w:hint="eastAsia" w:ascii="仿宋" w:hAnsi="仿宋" w:eastAsia="仿宋" w:cs="仿宋"/>
          <w:sz w:val="32"/>
          <w:szCs w:val="32"/>
        </w:rPr>
        <w:t>将各类政府热线整合进政府服务热线12345，12345市民热线增加企业服务功能，</w:t>
      </w:r>
      <w:r>
        <w:rPr>
          <w:rFonts w:hint="eastAsia" w:ascii="仿宋" w:hAnsi="仿宋" w:eastAsia="仿宋" w:cs="仿宋"/>
          <w:sz w:val="32"/>
          <w:szCs w:val="32"/>
          <w:lang w:eastAsia="zh-CN"/>
        </w:rPr>
        <w:t>建立</w:t>
      </w:r>
      <w:r>
        <w:rPr>
          <w:rFonts w:hint="eastAsia" w:ascii="仿宋" w:hAnsi="仿宋" w:eastAsia="仿宋" w:cs="仿宋"/>
          <w:i w:val="0"/>
          <w:caps w:val="0"/>
          <w:color w:val="auto"/>
          <w:spacing w:val="0"/>
          <w:sz w:val="32"/>
          <w:szCs w:val="32"/>
        </w:rPr>
        <w:t>政策咨询、诉求受理、办理、督办、反馈、回访、评价的企业服务长效机制</w:t>
      </w:r>
      <w:r>
        <w:rPr>
          <w:rFonts w:hint="eastAsia" w:ascii="仿宋" w:hAnsi="仿宋" w:eastAsia="仿宋" w:cs="仿宋"/>
          <w:sz w:val="32"/>
          <w:szCs w:val="32"/>
        </w:rPr>
        <w:t>。</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b w:val="0"/>
          <w:bCs w:val="0"/>
          <w:sz w:val="32"/>
          <w:szCs w:val="32"/>
          <w:lang w:eastAsia="zh-CN"/>
        </w:rPr>
        <w:t>十一、</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加强信用体系建设</w:t>
      </w:r>
      <w:r>
        <w:rPr>
          <w:rFonts w:hint="eastAsia" w:ascii="仿宋" w:hAnsi="仿宋" w:eastAsia="仿宋" w:cs="仿宋"/>
          <w:sz w:val="32"/>
          <w:szCs w:val="32"/>
          <w:lang w:eastAsia="zh-CN"/>
        </w:rPr>
        <w:t>】</w:t>
      </w:r>
      <w:r>
        <w:rPr>
          <w:rFonts w:hint="eastAsia" w:ascii="仿宋" w:hAnsi="仿宋" w:eastAsia="仿宋" w:cs="仿宋"/>
          <w:sz w:val="32"/>
          <w:szCs w:val="32"/>
        </w:rPr>
        <w:t>市、区人民政府推进社会信用体系建设，完善各类市场主体信用档案，建设覆盖全市范围信用信息平台，加强信用信息征集、披露、使用和管理，并为市场主体提供信用信息查询服务。市各行业主管部门、各区建立信用信息采集目录，在办理资质审核、市场准入、政府采购、招标投标、行政审批、公共服务和日常监管等过程中，全面记录市场主体信用行为，建立失信记录档案。相关行政管理部门应当充分运用信用信息，在实施行政许可过程中，对守信主体给予优先办理、简化程序等便利服务。</w:t>
      </w:r>
      <w:r>
        <w:rPr>
          <w:rFonts w:hint="eastAsia" w:ascii="仿宋" w:hAnsi="仿宋" w:eastAsia="仿宋" w:cs="仿宋"/>
          <w:sz w:val="32"/>
          <w:szCs w:val="32"/>
          <w:highlight w:val="none"/>
          <w:lang w:eastAsia="zh-CN"/>
        </w:rPr>
        <w:t>拓展“信易+”系列应用场景，</w:t>
      </w:r>
      <w:r>
        <w:rPr>
          <w:rFonts w:hint="eastAsia" w:ascii="仿宋" w:hAnsi="仿宋" w:eastAsia="仿宋" w:cs="仿宋"/>
          <w:sz w:val="32"/>
          <w:szCs w:val="32"/>
          <w:highlight w:val="none"/>
        </w:rPr>
        <w:t>通过优先办理、降低门槛、简化程序、免交押金等形式激励市民的守信行为，让守信者切身体会到诚信带来的便利。</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市实行跨区域、跨部门、跨行业的失信联合惩戒机制，建立联合惩戒措施清单，动态更新并向社会公开，对被列入失信联合惩戒对象名单的市场主体，依法依规对其法定代表人或主要负责人、实际控制人进行失信惩戒，并将相关失信行为记入其个人信用记录。建立健全信用修复机制，失信市场主体在规定期限内纠正失信行为、消除不良影响的，可对其终止实施联合惩戒措施。</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2147483648" w:afterLines="-2147483648"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本市</w:t>
      </w:r>
      <w:r>
        <w:rPr>
          <w:rFonts w:hint="eastAsia" w:ascii="仿宋" w:hAnsi="仿宋" w:eastAsia="仿宋" w:cs="仿宋"/>
          <w:sz w:val="32"/>
          <w:szCs w:val="32"/>
        </w:rPr>
        <w:t>建立政务诚信管理体系，运用大数据监测技术，开展各部门、各区信用状况评价和预警。各级人民政府及其有关部门履行向市场主体依法作出的政策承诺以及依法订立的各类合同，不得以行政区划调整、政府换届、机构或者职能调整以及相关责任人更替等为由违约毁约</w:t>
      </w:r>
      <w:r>
        <w:rPr>
          <w:rFonts w:hint="eastAsia" w:ascii="仿宋" w:hAnsi="仿宋" w:eastAsia="仿宋" w:cs="仿宋"/>
          <w:sz w:val="32"/>
          <w:szCs w:val="32"/>
          <w:lang w:eastAsia="zh-CN"/>
        </w:rPr>
        <w:t>，</w:t>
      </w:r>
      <w:r>
        <w:rPr>
          <w:rFonts w:hint="eastAsia" w:ascii="仿宋" w:hAnsi="仿宋" w:eastAsia="仿宋" w:cs="仿宋"/>
          <w:sz w:val="32"/>
          <w:szCs w:val="32"/>
        </w:rPr>
        <w:t>不得违约拖欠市场主体的货物、工程、服务等账款。</w:t>
      </w:r>
    </w:p>
    <w:p>
      <w:pPr>
        <w:widowControl/>
        <w:numPr>
          <w:ilvl w:val="-1"/>
          <w:numId w:val="0"/>
        </w:numPr>
        <w:shd w:val="clear" w:color="auto" w:fill="FFFFFF"/>
        <w:spacing w:beforeLines="-2147483648" w:afterLines="-2147483648" w:line="579" w:lineRule="exact"/>
        <w:ind w:firstLine="640" w:firstLineChars="200"/>
        <w:outlineLvl w:val="9"/>
        <w:rPr>
          <w:rFonts w:hint="eastAsia" w:ascii="仿宋" w:hAnsi="仿宋" w:eastAsia="仿宋" w:cs="仿宋"/>
          <w:sz w:val="32"/>
          <w:szCs w:val="32"/>
        </w:rPr>
      </w:pPr>
      <w:r>
        <w:rPr>
          <w:rFonts w:hint="eastAsia" w:ascii="仿宋" w:hAnsi="仿宋" w:eastAsia="仿宋" w:cs="仿宋"/>
          <w:b w:val="0"/>
          <w:bCs w:val="0"/>
          <w:sz w:val="32"/>
          <w:szCs w:val="32"/>
          <w:lang w:eastAsia="zh-CN"/>
        </w:rPr>
        <w:t>十二、</w:t>
      </w:r>
      <w:r>
        <w:rPr>
          <w:rFonts w:hint="eastAsia" w:ascii="仿宋" w:hAnsi="仿宋" w:eastAsia="仿宋" w:cs="仿宋"/>
          <w:b/>
          <w:bCs/>
          <w:sz w:val="32"/>
          <w:szCs w:val="32"/>
          <w:lang w:eastAsia="zh-CN"/>
        </w:rPr>
        <w:t>【创新公平公正的监管方式与规范执法】</w:t>
      </w:r>
      <w:r>
        <w:rPr>
          <w:rFonts w:hint="eastAsia" w:ascii="仿宋" w:hAnsi="仿宋" w:eastAsia="仿宋" w:cs="仿宋"/>
          <w:sz w:val="32"/>
          <w:szCs w:val="32"/>
        </w:rPr>
        <w:t>本市在除直接涉及国家安全、公共安全和人民群众生命健康等以外的行业、领域，实行“双随机、一公开”监管。对直接涉及公共安全和人民群众生命健康等特殊行业、重点领域，依法依规实行全覆盖的重点监管，并严格规范重点监管的程序。探索建立以信用为基础的分级分类监管制度。针对新技术、新产业、新业态、新模式的性质和特点，制定临时性、过渡性监管规则和措施，实行包容审慎监管，引导其健康规范发展。</w:t>
      </w:r>
      <w:r>
        <w:rPr>
          <w:rFonts w:hint="eastAsia" w:ascii="仿宋" w:hAnsi="仿宋" w:eastAsia="仿宋" w:cs="仿宋"/>
          <w:sz w:val="32"/>
          <w:szCs w:val="32"/>
          <w:vertAlign w:val="baseline"/>
          <w:lang w:val="en-US" w:eastAsia="zh-CN"/>
        </w:rPr>
        <w:t>建设珠海市“智慧市场监管”平台，建设统一企业服务门户和政府工作人员统一门户，建设易监管综合管理中心、信用综合监管中心、风险监测预警中心、领导决策中心、数字监管资源中心，打造易监管珠海模式。</w:t>
      </w:r>
    </w:p>
    <w:p>
      <w:pPr>
        <w:widowControl/>
        <w:shd w:val="clear" w:color="auto" w:fill="FFFFFF"/>
        <w:spacing w:beforeLines="-2147483648" w:afterLines="-2147483648" w:line="579" w:lineRule="exact"/>
        <w:ind w:firstLine="640" w:firstLineChars="200"/>
        <w:outlineLvl w:val="9"/>
        <w:rPr>
          <w:rFonts w:hint="eastAsia" w:ascii="仿宋" w:hAnsi="仿宋" w:eastAsia="仿宋" w:cs="仿宋"/>
          <w:sz w:val="32"/>
          <w:szCs w:val="32"/>
        </w:rPr>
      </w:pPr>
      <w:r>
        <w:rPr>
          <w:rFonts w:hint="eastAsia" w:ascii="仿宋" w:hAnsi="仿宋" w:eastAsia="仿宋" w:cs="仿宋"/>
          <w:sz w:val="32"/>
          <w:szCs w:val="32"/>
          <w:lang w:eastAsia="zh-CN"/>
        </w:rPr>
        <w:t>本市</w:t>
      </w:r>
      <w:r>
        <w:rPr>
          <w:rFonts w:hint="eastAsia" w:ascii="仿宋" w:hAnsi="仿宋" w:eastAsia="仿宋" w:cs="仿宋"/>
          <w:sz w:val="32"/>
          <w:szCs w:val="32"/>
        </w:rPr>
        <w:t>推广实施横琴新区</w:t>
      </w:r>
      <w:r>
        <w:rPr>
          <w:rFonts w:hint="eastAsia" w:ascii="仿宋" w:hAnsi="仿宋" w:eastAsia="仿宋" w:cs="仿宋"/>
          <w:sz w:val="32"/>
          <w:szCs w:val="32"/>
          <w:lang w:eastAsia="zh-CN"/>
        </w:rPr>
        <w:t>“物业城市”</w:t>
      </w:r>
      <w:r>
        <w:rPr>
          <w:rFonts w:hint="eastAsia" w:ascii="仿宋" w:hAnsi="仿宋" w:eastAsia="仿宋" w:cs="仿宋"/>
          <w:sz w:val="32"/>
          <w:szCs w:val="32"/>
        </w:rPr>
        <w:t>治理创新模式，将科技力量、市场化专业团队逐步融入进城市管理体系、社会治理板块，通过线下实体公司进驻、线上依托“物业城市”APP手机客户端为支撑，打造“线上”与“线下”互动的全新社会治理新模式。</w:t>
      </w:r>
    </w:p>
    <w:p>
      <w:pPr>
        <w:widowControl/>
        <w:shd w:val="clear" w:color="auto" w:fill="FFFFFF"/>
        <w:spacing w:beforeLines="-2147483648" w:afterLines="-2147483648" w:line="579" w:lineRule="exact"/>
        <w:ind w:firstLine="640" w:firstLineChars="200"/>
        <w:outlineLvl w:val="9"/>
        <w:rPr>
          <w:rFonts w:hint="eastAsia" w:ascii="仿宋" w:hAnsi="仿宋" w:eastAsia="仿宋" w:cs="仿宋"/>
          <w:sz w:val="32"/>
          <w:szCs w:val="32"/>
        </w:rPr>
      </w:pPr>
      <w:r>
        <w:rPr>
          <w:rFonts w:hint="eastAsia" w:ascii="仿宋" w:hAnsi="仿宋" w:eastAsia="仿宋" w:cs="仿宋"/>
          <w:sz w:val="32"/>
          <w:szCs w:val="32"/>
        </w:rPr>
        <w:t>有关政府部门应当制定本部门年度执法检查计划（检查主体、检查对象范围、检查方式、检查项目和检查比例等）并向社会公布。市有关政府部门依法制定本行业、本领域的现场行政检查单，明确检查内容、检查方式和检查标准等并在现场检查中严格遵守。需要在特定区域或者时段，对监管对象实施不同监管部门多项监管内容检查的，应当采用联合检查的方式，由牵头部门组织、多部门参加，按照同一时间、针对同一对象，实施一次检查，完成所有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十三、</w:t>
      </w:r>
      <w:r>
        <w:rPr>
          <w:rFonts w:hint="eastAsia" w:ascii="仿宋" w:hAnsi="仿宋" w:eastAsia="仿宋" w:cs="仿宋"/>
          <w:sz w:val="32"/>
          <w:szCs w:val="32"/>
        </w:rPr>
        <w:t>本决定自公布之日起施行，终止日期由珠海市人民代表大会常务委员会另行通知。</w:t>
      </w:r>
    </w:p>
    <w:p>
      <w:pPr>
        <w:pStyle w:val="3"/>
        <w:jc w:val="both"/>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jc w:val="both"/>
        <w:rPr>
          <w:rFonts w:hint="eastAsia" w:ascii="仿宋" w:hAnsi="仿宋" w:eastAsia="仿宋" w:cs="仿宋"/>
          <w:sz w:val="32"/>
          <w:szCs w:val="32"/>
        </w:rPr>
      </w:pP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iragino sans gb">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Yu Gothic UI Light">
    <w:altName w:val="MS UI Gothic"/>
    <w:panose1 w:val="020B0300000000000000"/>
    <w:charset w:val="80"/>
    <w:family w:val="swiss"/>
    <w:pitch w:val="default"/>
    <w:sig w:usb0="00000000" w:usb1="00000000" w:usb2="00000016" w:usb3="00000000" w:csb0="0002009F" w:csb1="00000000"/>
  </w:font>
  <w:font w:name="MS UI Gothic">
    <w:panose1 w:val="020B0600070205080204"/>
    <w:charset w:val="80"/>
    <w:family w:val="auto"/>
    <w:pitch w:val="default"/>
    <w:sig w:usb0="E00002FF" w:usb1="6AC7FDFB" w:usb2="00000012" w:usb3="00000000" w:csb0="4002009F" w:csb1="DFD70000"/>
  </w:font>
  <w:font w:name="方正仿宋简体">
    <w:altName w:val="微软雅黑"/>
    <w:panose1 w:val="03000509000000000000"/>
    <w:charset w:val="86"/>
    <w:family w:val="auto"/>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83D64"/>
    <w:rsid w:val="000D415B"/>
    <w:rsid w:val="00156828"/>
    <w:rsid w:val="001B5F39"/>
    <w:rsid w:val="009C39E8"/>
    <w:rsid w:val="018A7C35"/>
    <w:rsid w:val="021547E9"/>
    <w:rsid w:val="02975447"/>
    <w:rsid w:val="02E64FFC"/>
    <w:rsid w:val="031A5D81"/>
    <w:rsid w:val="03660606"/>
    <w:rsid w:val="03A97915"/>
    <w:rsid w:val="03C17C1C"/>
    <w:rsid w:val="046F6208"/>
    <w:rsid w:val="04CD7081"/>
    <w:rsid w:val="05887238"/>
    <w:rsid w:val="059D5272"/>
    <w:rsid w:val="06F87CA5"/>
    <w:rsid w:val="072240C3"/>
    <w:rsid w:val="07D471DF"/>
    <w:rsid w:val="08FC79BB"/>
    <w:rsid w:val="091B3EBF"/>
    <w:rsid w:val="098A0582"/>
    <w:rsid w:val="0A9B6BB4"/>
    <w:rsid w:val="0AF64E84"/>
    <w:rsid w:val="0B9616FF"/>
    <w:rsid w:val="0C0624F0"/>
    <w:rsid w:val="0C446318"/>
    <w:rsid w:val="0C7B2520"/>
    <w:rsid w:val="0CBA1A4C"/>
    <w:rsid w:val="0CDA4CD5"/>
    <w:rsid w:val="0D8D6419"/>
    <w:rsid w:val="102A1164"/>
    <w:rsid w:val="10472D05"/>
    <w:rsid w:val="10590518"/>
    <w:rsid w:val="11756681"/>
    <w:rsid w:val="123B015D"/>
    <w:rsid w:val="130A4DEF"/>
    <w:rsid w:val="1313655D"/>
    <w:rsid w:val="151E2ACA"/>
    <w:rsid w:val="15B55A9B"/>
    <w:rsid w:val="16C61792"/>
    <w:rsid w:val="177F4BF3"/>
    <w:rsid w:val="185D5E68"/>
    <w:rsid w:val="191726F1"/>
    <w:rsid w:val="194025C1"/>
    <w:rsid w:val="19FC3357"/>
    <w:rsid w:val="1A0A79DF"/>
    <w:rsid w:val="1A3E105C"/>
    <w:rsid w:val="1A453166"/>
    <w:rsid w:val="1A5B0919"/>
    <w:rsid w:val="1ACE56B8"/>
    <w:rsid w:val="1B595178"/>
    <w:rsid w:val="1B675DB1"/>
    <w:rsid w:val="1BB104CA"/>
    <w:rsid w:val="1BEC3B39"/>
    <w:rsid w:val="1C631BDD"/>
    <w:rsid w:val="1D473DAF"/>
    <w:rsid w:val="1DEF62A9"/>
    <w:rsid w:val="1DFB4790"/>
    <w:rsid w:val="1E257C22"/>
    <w:rsid w:val="1E991200"/>
    <w:rsid w:val="1ECE720B"/>
    <w:rsid w:val="1F4172BD"/>
    <w:rsid w:val="1FA0290A"/>
    <w:rsid w:val="1FA417DD"/>
    <w:rsid w:val="20207B6E"/>
    <w:rsid w:val="202A628E"/>
    <w:rsid w:val="20501F28"/>
    <w:rsid w:val="20C51886"/>
    <w:rsid w:val="21497A7C"/>
    <w:rsid w:val="21CC355D"/>
    <w:rsid w:val="21FD14C9"/>
    <w:rsid w:val="22084A4D"/>
    <w:rsid w:val="22C31855"/>
    <w:rsid w:val="22EB0B1C"/>
    <w:rsid w:val="22F656E1"/>
    <w:rsid w:val="236F7CDB"/>
    <w:rsid w:val="259C710E"/>
    <w:rsid w:val="26924349"/>
    <w:rsid w:val="26C450C4"/>
    <w:rsid w:val="27126BBB"/>
    <w:rsid w:val="27297A51"/>
    <w:rsid w:val="27A26061"/>
    <w:rsid w:val="28350802"/>
    <w:rsid w:val="28B003CC"/>
    <w:rsid w:val="28B9103F"/>
    <w:rsid w:val="296D0762"/>
    <w:rsid w:val="29826366"/>
    <w:rsid w:val="29A74E68"/>
    <w:rsid w:val="2A094E49"/>
    <w:rsid w:val="2AA8141D"/>
    <w:rsid w:val="2B1916DE"/>
    <w:rsid w:val="2C113D09"/>
    <w:rsid w:val="2C142855"/>
    <w:rsid w:val="2C596CD2"/>
    <w:rsid w:val="2CD83D64"/>
    <w:rsid w:val="2D671880"/>
    <w:rsid w:val="2D9013B5"/>
    <w:rsid w:val="2E0C0F63"/>
    <w:rsid w:val="2EF75563"/>
    <w:rsid w:val="2F2D0BAD"/>
    <w:rsid w:val="300F37AD"/>
    <w:rsid w:val="3018393B"/>
    <w:rsid w:val="307A69BE"/>
    <w:rsid w:val="30DD735E"/>
    <w:rsid w:val="330048EF"/>
    <w:rsid w:val="331269B7"/>
    <w:rsid w:val="339B2FDE"/>
    <w:rsid w:val="33AF0C1B"/>
    <w:rsid w:val="347F54AD"/>
    <w:rsid w:val="34B66D76"/>
    <w:rsid w:val="356B171D"/>
    <w:rsid w:val="357A4EDF"/>
    <w:rsid w:val="35830222"/>
    <w:rsid w:val="36834507"/>
    <w:rsid w:val="36A06598"/>
    <w:rsid w:val="36A25738"/>
    <w:rsid w:val="36AF77BB"/>
    <w:rsid w:val="36C83666"/>
    <w:rsid w:val="370C4942"/>
    <w:rsid w:val="3736179C"/>
    <w:rsid w:val="37BB6C42"/>
    <w:rsid w:val="38303388"/>
    <w:rsid w:val="38406EDF"/>
    <w:rsid w:val="3865627E"/>
    <w:rsid w:val="38B77C81"/>
    <w:rsid w:val="39327156"/>
    <w:rsid w:val="393C160B"/>
    <w:rsid w:val="395C3B0B"/>
    <w:rsid w:val="39F265F5"/>
    <w:rsid w:val="3BE34D18"/>
    <w:rsid w:val="3C0B142E"/>
    <w:rsid w:val="3C2721A8"/>
    <w:rsid w:val="3C450881"/>
    <w:rsid w:val="3C642B92"/>
    <w:rsid w:val="3D036042"/>
    <w:rsid w:val="3D096B42"/>
    <w:rsid w:val="3D0E47F5"/>
    <w:rsid w:val="3E834AD0"/>
    <w:rsid w:val="3F024B09"/>
    <w:rsid w:val="3FDD1108"/>
    <w:rsid w:val="406B1F00"/>
    <w:rsid w:val="413C7171"/>
    <w:rsid w:val="41923BAD"/>
    <w:rsid w:val="41C52926"/>
    <w:rsid w:val="41E4610A"/>
    <w:rsid w:val="42F05A6C"/>
    <w:rsid w:val="43056D8E"/>
    <w:rsid w:val="43146DC4"/>
    <w:rsid w:val="4355709A"/>
    <w:rsid w:val="43740DAB"/>
    <w:rsid w:val="43AF1E10"/>
    <w:rsid w:val="440069C1"/>
    <w:rsid w:val="44285D47"/>
    <w:rsid w:val="44755F71"/>
    <w:rsid w:val="44D80F16"/>
    <w:rsid w:val="4530067B"/>
    <w:rsid w:val="456C4F12"/>
    <w:rsid w:val="46527E20"/>
    <w:rsid w:val="467E63A3"/>
    <w:rsid w:val="469C0EE9"/>
    <w:rsid w:val="47816426"/>
    <w:rsid w:val="490A1C6F"/>
    <w:rsid w:val="498B3587"/>
    <w:rsid w:val="4ACF06B3"/>
    <w:rsid w:val="4B66203C"/>
    <w:rsid w:val="4BDB1316"/>
    <w:rsid w:val="4BE0377F"/>
    <w:rsid w:val="4C267028"/>
    <w:rsid w:val="4C395C14"/>
    <w:rsid w:val="4D66305A"/>
    <w:rsid w:val="4E196E3F"/>
    <w:rsid w:val="4EBE1CF5"/>
    <w:rsid w:val="4F1C5282"/>
    <w:rsid w:val="4F265F23"/>
    <w:rsid w:val="4FFC54A3"/>
    <w:rsid w:val="50AF6622"/>
    <w:rsid w:val="50EA3B12"/>
    <w:rsid w:val="518B2DEE"/>
    <w:rsid w:val="519C1E6D"/>
    <w:rsid w:val="51F50557"/>
    <w:rsid w:val="52322371"/>
    <w:rsid w:val="535D025C"/>
    <w:rsid w:val="536E3506"/>
    <w:rsid w:val="536F5FB7"/>
    <w:rsid w:val="56AF25AF"/>
    <w:rsid w:val="57CA6736"/>
    <w:rsid w:val="58C470B7"/>
    <w:rsid w:val="59A17E82"/>
    <w:rsid w:val="5A4019D1"/>
    <w:rsid w:val="5A8B4C5E"/>
    <w:rsid w:val="5A9123C7"/>
    <w:rsid w:val="5ADA5481"/>
    <w:rsid w:val="5B5E659A"/>
    <w:rsid w:val="5BC41708"/>
    <w:rsid w:val="5BCC0601"/>
    <w:rsid w:val="5C443A03"/>
    <w:rsid w:val="5CA21EAF"/>
    <w:rsid w:val="5D4224CE"/>
    <w:rsid w:val="5D4D2092"/>
    <w:rsid w:val="5D772C4F"/>
    <w:rsid w:val="5DB824D0"/>
    <w:rsid w:val="5DFC2CE3"/>
    <w:rsid w:val="5E6A1873"/>
    <w:rsid w:val="5EBA29C0"/>
    <w:rsid w:val="5F2E120B"/>
    <w:rsid w:val="5F3D5FAF"/>
    <w:rsid w:val="5FFC4F45"/>
    <w:rsid w:val="60AE3FCA"/>
    <w:rsid w:val="60C31094"/>
    <w:rsid w:val="60D70292"/>
    <w:rsid w:val="6116118F"/>
    <w:rsid w:val="626040F7"/>
    <w:rsid w:val="63047C46"/>
    <w:rsid w:val="6307409A"/>
    <w:rsid w:val="630934D4"/>
    <w:rsid w:val="63896DFE"/>
    <w:rsid w:val="642B3C3D"/>
    <w:rsid w:val="64711F2D"/>
    <w:rsid w:val="65215FCD"/>
    <w:rsid w:val="6544152A"/>
    <w:rsid w:val="6573612F"/>
    <w:rsid w:val="65986C0E"/>
    <w:rsid w:val="65CC560C"/>
    <w:rsid w:val="666908BB"/>
    <w:rsid w:val="6725404F"/>
    <w:rsid w:val="67604485"/>
    <w:rsid w:val="679F5F17"/>
    <w:rsid w:val="67D76425"/>
    <w:rsid w:val="693470B6"/>
    <w:rsid w:val="69A86D89"/>
    <w:rsid w:val="69A97724"/>
    <w:rsid w:val="69D66034"/>
    <w:rsid w:val="6BA11118"/>
    <w:rsid w:val="6BFF42E6"/>
    <w:rsid w:val="6C36590B"/>
    <w:rsid w:val="6CD26CCC"/>
    <w:rsid w:val="6CDC1689"/>
    <w:rsid w:val="6D7F1AB5"/>
    <w:rsid w:val="6D9A0C61"/>
    <w:rsid w:val="6E6D26E8"/>
    <w:rsid w:val="6ECE4028"/>
    <w:rsid w:val="6F2F0107"/>
    <w:rsid w:val="707A14BF"/>
    <w:rsid w:val="707D423D"/>
    <w:rsid w:val="71EA201D"/>
    <w:rsid w:val="71F744EE"/>
    <w:rsid w:val="71FF7F5C"/>
    <w:rsid w:val="7244787A"/>
    <w:rsid w:val="72D510FD"/>
    <w:rsid w:val="742538B7"/>
    <w:rsid w:val="743449AA"/>
    <w:rsid w:val="749318F9"/>
    <w:rsid w:val="74D651FD"/>
    <w:rsid w:val="74D7057A"/>
    <w:rsid w:val="75E704C3"/>
    <w:rsid w:val="7611128C"/>
    <w:rsid w:val="765462F4"/>
    <w:rsid w:val="770E4560"/>
    <w:rsid w:val="77C27E8B"/>
    <w:rsid w:val="780B2B27"/>
    <w:rsid w:val="781D223A"/>
    <w:rsid w:val="78BA1A8B"/>
    <w:rsid w:val="79025E94"/>
    <w:rsid w:val="79060670"/>
    <w:rsid w:val="7A7212FF"/>
    <w:rsid w:val="7A9B3604"/>
    <w:rsid w:val="7B4752D4"/>
    <w:rsid w:val="7C3868BB"/>
    <w:rsid w:val="7CE94F11"/>
    <w:rsid w:val="7D03697C"/>
    <w:rsid w:val="7DDD6B0B"/>
    <w:rsid w:val="7E056D5A"/>
    <w:rsid w:val="7F543B8A"/>
    <w:rsid w:val="7F670936"/>
    <w:rsid w:val="7F857A21"/>
    <w:rsid w:val="7FCF4E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next w:val="3"/>
    <w:qFormat/>
    <w:uiPriority w:val="0"/>
    <w:pPr>
      <w:spacing w:after="120"/>
    </w:pPr>
    <w:rPr>
      <w:rFonts w:ascii="Times New Roman" w:hAnsi="Times New Roman"/>
    </w:rPr>
  </w:style>
  <w:style w:type="paragraph" w:styleId="3">
    <w:name w:val="Title"/>
    <w:basedOn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qFormat/>
    <w:uiPriority w:val="0"/>
    <w:rPr>
      <w:color w:val="4E3509"/>
      <w:u w:val="none"/>
    </w:rPr>
  </w:style>
  <w:style w:type="character" w:styleId="9">
    <w:name w:val="Emphasis"/>
    <w:basedOn w:val="7"/>
    <w:qFormat/>
    <w:uiPriority w:val="0"/>
    <w:rPr>
      <w:i/>
    </w:rPr>
  </w:style>
  <w:style w:type="character" w:styleId="10">
    <w:name w:val="Hyperlink"/>
    <w:basedOn w:val="7"/>
    <w:qFormat/>
    <w:uiPriority w:val="0"/>
    <w:rPr>
      <w:color w:val="4E3509"/>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2020-04-17T02:49:00Z</dcterms:created>
  <dc:creator>刘慧娜(拟稿)</dc:creator>
  <cp:lastModifiedBy>刘慧娜(拟稿)</cp:lastModifiedBy>
  <cp:lastPrinted>2020-04-20T07:43:00Z</cp:lastPrinted>
  <dcterms:modified xsi:type="dcterms:W3CDTF">2020-05-12T03:13:26Z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