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hAnsi="黑体" w:eastAsia="方正黑体简体"/>
          <w:bCs/>
          <w:szCs w:val="36"/>
        </w:rPr>
      </w:pPr>
      <w:r>
        <w:rPr>
          <w:rFonts w:hint="eastAsia" w:ascii="方正黑体简体" w:hAnsi="黑体" w:eastAsia="方正黑体简体"/>
          <w:bCs/>
          <w:szCs w:val="36"/>
        </w:rPr>
        <w:t xml:space="preserve">附件：   </w:t>
      </w:r>
      <w:bookmarkStart w:id="0" w:name="_GoBack"/>
      <w:bookmarkEnd w:id="0"/>
    </w:p>
    <w:p>
      <w:pPr>
        <w:jc w:val="center"/>
        <w:rPr>
          <w:rFonts w:hint="eastAsia" w:ascii="方正小标宋简体" w:hAnsi="黑体" w:eastAsia="方正小标宋简体"/>
          <w:bCs/>
          <w:sz w:val="36"/>
          <w:szCs w:val="36"/>
        </w:rPr>
      </w:pPr>
      <w:r>
        <w:rPr>
          <w:rFonts w:hint="eastAsia" w:ascii="方正小标宋简体" w:hAnsi="黑体" w:eastAsia="方正小标宋简体"/>
          <w:bCs/>
          <w:sz w:val="36"/>
          <w:szCs w:val="36"/>
        </w:rPr>
        <w:t>四川省</w:t>
      </w:r>
      <w:r>
        <w:rPr>
          <w:rFonts w:hint="eastAsia" w:ascii="方正小标宋简体" w:eastAsia="方正小标宋简体"/>
          <w:bCs/>
          <w:sz w:val="36"/>
          <w:szCs w:val="36"/>
        </w:rPr>
        <w:t>2020</w:t>
      </w:r>
      <w:r>
        <w:rPr>
          <w:rFonts w:hint="eastAsia" w:ascii="方正小标宋简体" w:hAnsi="黑体" w:eastAsia="方正小标宋简体"/>
          <w:bCs/>
          <w:sz w:val="36"/>
          <w:szCs w:val="36"/>
        </w:rPr>
        <w:t>年能力验证计划项目</w:t>
      </w:r>
    </w:p>
    <w:p>
      <w:pPr>
        <w:spacing w:line="240" w:lineRule="exact"/>
        <w:jc w:val="center"/>
        <w:rPr>
          <w:bCs/>
        </w:rPr>
      </w:pPr>
    </w:p>
    <w:tbl>
      <w:tblPr>
        <w:tblStyle w:val="3"/>
        <w:tblW w:w="9174" w:type="dxa"/>
        <w:jc w:val="center"/>
        <w:tblInd w:w="0" w:type="dxa"/>
        <w:tblLayout w:type="fixed"/>
        <w:tblCellMar>
          <w:top w:w="0" w:type="dxa"/>
          <w:left w:w="108" w:type="dxa"/>
          <w:bottom w:w="0" w:type="dxa"/>
          <w:right w:w="108" w:type="dxa"/>
        </w:tblCellMar>
      </w:tblPr>
      <w:tblGrid>
        <w:gridCol w:w="598"/>
        <w:gridCol w:w="2128"/>
        <w:gridCol w:w="2327"/>
        <w:gridCol w:w="2993"/>
        <w:gridCol w:w="1128"/>
      </w:tblGrid>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ind w:leftChars="-44" w:right="-106" w:rightChars="-33" w:hanging="141" w:hangingChars="59"/>
              <w:jc w:val="center"/>
              <w:rPr>
                <w:rFonts w:hint="eastAsia" w:ascii="方正黑体简体" w:eastAsia="方正黑体简体"/>
                <w:bCs/>
                <w:sz w:val="24"/>
              </w:rPr>
            </w:pPr>
            <w:r>
              <w:rPr>
                <w:rFonts w:hint="eastAsia" w:ascii="方正黑体简体" w:eastAsia="方正黑体简体"/>
                <w:bCs/>
                <w:sz w:val="24"/>
              </w:rPr>
              <w:t>序号</w:t>
            </w:r>
          </w:p>
        </w:tc>
        <w:tc>
          <w:tcPr>
            <w:tcW w:w="2128" w:type="dxa"/>
            <w:tcBorders>
              <w:top w:val="single" w:color="auto" w:sz="4" w:space="0"/>
              <w:left w:val="nil"/>
              <w:bottom w:val="single" w:color="auto" w:sz="4" w:space="0"/>
              <w:right w:val="single" w:color="auto" w:sz="4" w:space="0"/>
            </w:tcBorders>
            <w:vAlign w:val="center"/>
          </w:tcPr>
          <w:p>
            <w:pPr>
              <w:spacing w:line="320" w:lineRule="exact"/>
              <w:ind w:left="-44"/>
              <w:jc w:val="center"/>
              <w:rPr>
                <w:rFonts w:hint="eastAsia" w:ascii="方正黑体简体" w:eastAsia="方正黑体简体"/>
                <w:bCs/>
                <w:sz w:val="24"/>
              </w:rPr>
            </w:pPr>
            <w:r>
              <w:rPr>
                <w:rFonts w:hint="eastAsia" w:ascii="方正黑体简体" w:eastAsia="方正黑体简体"/>
                <w:bCs/>
                <w:sz w:val="24"/>
              </w:rPr>
              <w:t>项目名称</w:t>
            </w:r>
          </w:p>
        </w:tc>
        <w:tc>
          <w:tcPr>
            <w:tcW w:w="2327" w:type="dxa"/>
            <w:tcBorders>
              <w:top w:val="single" w:color="auto" w:sz="4" w:space="0"/>
              <w:left w:val="nil"/>
              <w:bottom w:val="single" w:color="auto" w:sz="4" w:space="0"/>
              <w:right w:val="single" w:color="auto" w:sz="4" w:space="0"/>
            </w:tcBorders>
            <w:vAlign w:val="center"/>
          </w:tcPr>
          <w:p>
            <w:pPr>
              <w:spacing w:line="320" w:lineRule="exact"/>
              <w:ind w:left="-44"/>
              <w:jc w:val="center"/>
              <w:rPr>
                <w:rFonts w:hint="eastAsia" w:ascii="方正黑体简体" w:eastAsia="方正黑体简体"/>
                <w:bCs/>
                <w:sz w:val="24"/>
              </w:rPr>
            </w:pPr>
            <w:r>
              <w:rPr>
                <w:rFonts w:hint="eastAsia" w:ascii="方正黑体简体" w:eastAsia="方正黑体简体"/>
                <w:bCs/>
                <w:sz w:val="24"/>
              </w:rPr>
              <w:t>检测参数</w:t>
            </w:r>
          </w:p>
        </w:tc>
        <w:tc>
          <w:tcPr>
            <w:tcW w:w="2993" w:type="dxa"/>
            <w:tcBorders>
              <w:top w:val="single" w:color="auto" w:sz="4" w:space="0"/>
              <w:left w:val="nil"/>
              <w:bottom w:val="single" w:color="auto" w:sz="4" w:space="0"/>
              <w:right w:val="single" w:color="auto" w:sz="4" w:space="0"/>
            </w:tcBorders>
            <w:vAlign w:val="center"/>
          </w:tcPr>
          <w:p>
            <w:pPr>
              <w:spacing w:line="320" w:lineRule="exact"/>
              <w:ind w:firstLine="720" w:firstLineChars="300"/>
              <w:rPr>
                <w:rFonts w:hint="eastAsia" w:ascii="方正黑体简体" w:eastAsia="方正黑体简体"/>
                <w:bCs/>
                <w:sz w:val="24"/>
              </w:rPr>
            </w:pPr>
            <w:r>
              <w:rPr>
                <w:rFonts w:hint="eastAsia" w:ascii="方正黑体简体" w:eastAsia="方正黑体简体"/>
                <w:bCs/>
                <w:sz w:val="24"/>
              </w:rPr>
              <w:t>检测方法</w:t>
            </w:r>
          </w:p>
        </w:tc>
        <w:tc>
          <w:tcPr>
            <w:tcW w:w="1128" w:type="dxa"/>
            <w:tcBorders>
              <w:top w:val="single" w:color="auto" w:sz="4" w:space="0"/>
              <w:left w:val="nil"/>
              <w:bottom w:val="single" w:color="auto" w:sz="4" w:space="0"/>
              <w:right w:val="single" w:color="auto" w:sz="4" w:space="0"/>
            </w:tcBorders>
            <w:vAlign w:val="center"/>
          </w:tcPr>
          <w:p>
            <w:pPr>
              <w:spacing w:line="320" w:lineRule="exact"/>
              <w:ind w:leftChars="-27" w:right="-32" w:rightChars="-10" w:hanging="86" w:hangingChars="36"/>
              <w:jc w:val="center"/>
              <w:rPr>
                <w:rFonts w:hint="eastAsia" w:ascii="方正黑体简体" w:eastAsia="方正黑体简体"/>
                <w:bCs/>
                <w:sz w:val="24"/>
              </w:rPr>
            </w:pPr>
            <w:r>
              <w:rPr>
                <w:rFonts w:hint="eastAsia" w:ascii="方正黑体简体" w:eastAsia="方正黑体简体"/>
                <w:bCs/>
                <w:sz w:val="24"/>
              </w:rPr>
              <w:t>实施时间</w:t>
            </w:r>
          </w:p>
        </w:tc>
      </w:tr>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z w:val="20"/>
                <w:szCs w:val="20"/>
              </w:rPr>
            </w:pPr>
            <w:r>
              <w:rPr>
                <w:bCs/>
                <w:sz w:val="20"/>
                <w:szCs w:val="20"/>
              </w:rPr>
              <w:t>1</w:t>
            </w:r>
          </w:p>
        </w:tc>
        <w:tc>
          <w:tcPr>
            <w:tcW w:w="2128" w:type="dxa"/>
            <w:tcBorders>
              <w:top w:val="single" w:color="auto" w:sz="4" w:space="0"/>
              <w:left w:val="nil"/>
              <w:bottom w:val="single" w:color="auto" w:sz="4" w:space="0"/>
              <w:right w:val="single" w:color="auto" w:sz="4" w:space="0"/>
            </w:tcBorders>
            <w:vAlign w:val="center"/>
          </w:tcPr>
          <w:p>
            <w:pPr>
              <w:spacing w:line="320" w:lineRule="exact"/>
              <w:ind w:left="1"/>
              <w:rPr>
                <w:sz w:val="20"/>
                <w:szCs w:val="20"/>
              </w:rPr>
            </w:pPr>
            <w:r>
              <w:rPr>
                <w:sz w:val="20"/>
                <w:szCs w:val="20"/>
              </w:rPr>
              <w:t>食品中罗丹明B的测定</w:t>
            </w:r>
          </w:p>
        </w:tc>
        <w:tc>
          <w:tcPr>
            <w:tcW w:w="2327"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罗丹明B</w:t>
            </w:r>
          </w:p>
        </w:tc>
        <w:tc>
          <w:tcPr>
            <w:tcW w:w="2993"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1.SN/T 2430-2010  进出口食品中罗丹明B的检测方法</w:t>
            </w:r>
          </w:p>
          <w:p>
            <w:pPr>
              <w:spacing w:line="300" w:lineRule="exact"/>
              <w:ind w:left="1"/>
              <w:rPr>
                <w:sz w:val="20"/>
                <w:szCs w:val="20"/>
              </w:rPr>
            </w:pPr>
            <w:r>
              <w:rPr>
                <w:sz w:val="20"/>
                <w:szCs w:val="20"/>
              </w:rPr>
              <w:t>2.参加实验室可采用其他标准方法、非标方法或实验室常用方法</w:t>
            </w:r>
          </w:p>
        </w:tc>
        <w:tc>
          <w:tcPr>
            <w:tcW w:w="1128" w:type="dxa"/>
            <w:tcBorders>
              <w:top w:val="single" w:color="auto" w:sz="4" w:space="0"/>
              <w:left w:val="nil"/>
              <w:bottom w:val="single" w:color="auto" w:sz="4" w:space="0"/>
              <w:right w:val="single" w:color="auto" w:sz="4" w:space="0"/>
            </w:tcBorders>
            <w:vAlign w:val="center"/>
          </w:tcPr>
          <w:p>
            <w:pPr>
              <w:spacing w:line="300" w:lineRule="exact"/>
              <w:jc w:val="center"/>
              <w:rPr>
                <w:sz w:val="20"/>
                <w:szCs w:val="20"/>
              </w:rPr>
            </w:pPr>
            <w:r>
              <w:rPr>
                <w:bCs/>
                <w:sz w:val="20"/>
                <w:szCs w:val="20"/>
              </w:rPr>
              <w:t>7-11月</w:t>
            </w:r>
          </w:p>
        </w:tc>
      </w:tr>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bCs/>
                <w:sz w:val="20"/>
                <w:szCs w:val="20"/>
              </w:rPr>
            </w:pPr>
            <w:r>
              <w:rPr>
                <w:bCs/>
                <w:sz w:val="20"/>
                <w:szCs w:val="20"/>
              </w:rPr>
              <w:t>2</w:t>
            </w:r>
          </w:p>
        </w:tc>
        <w:tc>
          <w:tcPr>
            <w:tcW w:w="2128" w:type="dxa"/>
            <w:tcBorders>
              <w:top w:val="single" w:color="auto" w:sz="4" w:space="0"/>
              <w:left w:val="nil"/>
              <w:bottom w:val="single" w:color="auto" w:sz="4" w:space="0"/>
              <w:right w:val="single" w:color="auto" w:sz="4" w:space="0"/>
            </w:tcBorders>
            <w:vAlign w:val="center"/>
          </w:tcPr>
          <w:p>
            <w:pPr>
              <w:spacing w:line="320" w:lineRule="exact"/>
              <w:ind w:left="1"/>
              <w:rPr>
                <w:sz w:val="20"/>
                <w:szCs w:val="20"/>
              </w:rPr>
            </w:pPr>
            <w:r>
              <w:rPr>
                <w:sz w:val="20"/>
                <w:szCs w:val="20"/>
              </w:rPr>
              <w:t>食品中沙门氏菌的检验</w:t>
            </w:r>
          </w:p>
        </w:tc>
        <w:tc>
          <w:tcPr>
            <w:tcW w:w="2327"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沙门氏菌的分离鉴定（必做）；</w:t>
            </w:r>
          </w:p>
          <w:p>
            <w:pPr>
              <w:spacing w:line="300" w:lineRule="exact"/>
              <w:ind w:left="1"/>
              <w:rPr>
                <w:sz w:val="20"/>
                <w:szCs w:val="20"/>
              </w:rPr>
            </w:pPr>
            <w:r>
              <w:rPr>
                <w:sz w:val="20"/>
                <w:szCs w:val="20"/>
              </w:rPr>
              <w:t>沙门氏菌的血清分型（选做）。</w:t>
            </w:r>
          </w:p>
        </w:tc>
        <w:tc>
          <w:tcPr>
            <w:tcW w:w="2993"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GB 4789.4—2016  食品安全国家标准 食品微生物学检验 沙门氏菌检验</w:t>
            </w:r>
          </w:p>
        </w:tc>
        <w:tc>
          <w:tcPr>
            <w:tcW w:w="1128" w:type="dxa"/>
            <w:tcBorders>
              <w:top w:val="single" w:color="auto" w:sz="4" w:space="0"/>
              <w:left w:val="nil"/>
              <w:bottom w:val="single" w:color="auto" w:sz="4" w:space="0"/>
              <w:right w:val="single" w:color="auto" w:sz="4" w:space="0"/>
            </w:tcBorders>
            <w:vAlign w:val="center"/>
          </w:tcPr>
          <w:p>
            <w:pPr>
              <w:spacing w:line="300" w:lineRule="exact"/>
              <w:jc w:val="center"/>
              <w:rPr>
                <w:bCs/>
                <w:sz w:val="20"/>
                <w:szCs w:val="20"/>
              </w:rPr>
            </w:pPr>
            <w:r>
              <w:rPr>
                <w:bCs/>
                <w:sz w:val="20"/>
                <w:szCs w:val="20"/>
              </w:rPr>
              <w:t>7-11月</w:t>
            </w:r>
          </w:p>
        </w:tc>
      </w:tr>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ind w:left="1"/>
              <w:jc w:val="center"/>
              <w:rPr>
                <w:sz w:val="20"/>
                <w:szCs w:val="20"/>
              </w:rPr>
            </w:pPr>
            <w:r>
              <w:rPr>
                <w:sz w:val="20"/>
                <w:szCs w:val="20"/>
              </w:rPr>
              <w:t>3</w:t>
            </w:r>
          </w:p>
        </w:tc>
        <w:tc>
          <w:tcPr>
            <w:tcW w:w="2128" w:type="dxa"/>
            <w:tcBorders>
              <w:top w:val="single" w:color="auto" w:sz="4" w:space="0"/>
              <w:left w:val="nil"/>
              <w:bottom w:val="single" w:color="auto" w:sz="4" w:space="0"/>
              <w:right w:val="single" w:color="auto" w:sz="4" w:space="0"/>
            </w:tcBorders>
            <w:vAlign w:val="center"/>
          </w:tcPr>
          <w:p>
            <w:pPr>
              <w:spacing w:line="320" w:lineRule="exact"/>
              <w:rPr>
                <w:sz w:val="20"/>
                <w:szCs w:val="20"/>
              </w:rPr>
            </w:pPr>
            <w:r>
              <w:rPr>
                <w:sz w:val="20"/>
                <w:szCs w:val="20"/>
              </w:rPr>
              <w:t>2020年全省县（区）级刑事技术鉴定机构能力验证</w:t>
            </w:r>
          </w:p>
        </w:tc>
        <w:tc>
          <w:tcPr>
            <w:tcW w:w="2327"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法医检验鉴定-死亡原因鉴定、损伤程度鉴定；</w:t>
            </w:r>
          </w:p>
          <w:p>
            <w:pPr>
              <w:spacing w:line="300" w:lineRule="exact"/>
              <w:ind w:left="1"/>
              <w:rPr>
                <w:sz w:val="20"/>
                <w:szCs w:val="20"/>
              </w:rPr>
            </w:pPr>
            <w:r>
              <w:rPr>
                <w:sz w:val="20"/>
                <w:szCs w:val="20"/>
              </w:rPr>
              <w:t>痕迹检验鉴定-指纹鉴定、足迹鉴定；</w:t>
            </w:r>
          </w:p>
          <w:p>
            <w:pPr>
              <w:spacing w:line="300" w:lineRule="exact"/>
              <w:ind w:left="1"/>
              <w:rPr>
                <w:sz w:val="20"/>
                <w:szCs w:val="20"/>
              </w:rPr>
            </w:pPr>
            <w:r>
              <w:rPr>
                <w:sz w:val="20"/>
                <w:szCs w:val="20"/>
              </w:rPr>
              <w:t>声像检验鉴定-影像真实性鉴定。</w:t>
            </w:r>
          </w:p>
        </w:tc>
        <w:tc>
          <w:tcPr>
            <w:tcW w:w="2993"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详见公安厅文件</w:t>
            </w:r>
          </w:p>
        </w:tc>
        <w:tc>
          <w:tcPr>
            <w:tcW w:w="1128" w:type="dxa"/>
            <w:tcBorders>
              <w:top w:val="single" w:color="auto" w:sz="4" w:space="0"/>
              <w:left w:val="nil"/>
              <w:bottom w:val="single" w:color="auto" w:sz="4" w:space="0"/>
              <w:right w:val="single" w:color="auto" w:sz="4" w:space="0"/>
            </w:tcBorders>
            <w:vAlign w:val="center"/>
          </w:tcPr>
          <w:p>
            <w:pPr>
              <w:spacing w:line="300" w:lineRule="exact"/>
              <w:ind w:left="1"/>
              <w:jc w:val="center"/>
              <w:rPr>
                <w:sz w:val="20"/>
                <w:szCs w:val="20"/>
              </w:rPr>
            </w:pPr>
            <w:r>
              <w:rPr>
                <w:sz w:val="20"/>
                <w:szCs w:val="20"/>
              </w:rPr>
              <w:t>详见公安厅文件</w:t>
            </w:r>
          </w:p>
        </w:tc>
      </w:tr>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ind w:left="1"/>
              <w:jc w:val="center"/>
              <w:rPr>
                <w:sz w:val="20"/>
                <w:szCs w:val="20"/>
              </w:rPr>
            </w:pPr>
            <w:r>
              <w:rPr>
                <w:sz w:val="20"/>
                <w:szCs w:val="20"/>
              </w:rPr>
              <w:t>4</w:t>
            </w:r>
          </w:p>
        </w:tc>
        <w:tc>
          <w:tcPr>
            <w:tcW w:w="2128" w:type="dxa"/>
            <w:tcBorders>
              <w:top w:val="single" w:color="auto" w:sz="4" w:space="0"/>
              <w:left w:val="nil"/>
              <w:bottom w:val="single" w:color="auto" w:sz="4" w:space="0"/>
              <w:right w:val="single" w:color="auto" w:sz="4" w:space="0"/>
            </w:tcBorders>
            <w:vAlign w:val="center"/>
          </w:tcPr>
          <w:p>
            <w:pPr>
              <w:spacing w:line="320" w:lineRule="exact"/>
              <w:ind w:left="1"/>
              <w:rPr>
                <w:sz w:val="20"/>
                <w:szCs w:val="20"/>
              </w:rPr>
            </w:pPr>
            <w:r>
              <w:rPr>
                <w:sz w:val="20"/>
                <w:szCs w:val="20"/>
              </w:rPr>
              <w:t>2020年四川省农产品质量安全检测技术能力验证</w:t>
            </w:r>
          </w:p>
        </w:tc>
        <w:tc>
          <w:tcPr>
            <w:tcW w:w="2327"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农产品中农药残留检测参数：甲拌磷、乐果、三唑酮、氯氰菊酯、多菌灵；</w:t>
            </w:r>
          </w:p>
          <w:p>
            <w:pPr>
              <w:spacing w:line="300" w:lineRule="exact"/>
              <w:ind w:left="1"/>
              <w:rPr>
                <w:sz w:val="20"/>
                <w:szCs w:val="20"/>
              </w:rPr>
            </w:pPr>
            <w:r>
              <w:rPr>
                <w:sz w:val="20"/>
                <w:szCs w:val="20"/>
              </w:rPr>
              <w:t>农产品中兽药残留检测参数：恩诺沙星、达氟沙星；</w:t>
            </w:r>
          </w:p>
          <w:p>
            <w:pPr>
              <w:spacing w:line="300" w:lineRule="exact"/>
              <w:ind w:left="1"/>
              <w:rPr>
                <w:sz w:val="20"/>
                <w:szCs w:val="20"/>
              </w:rPr>
            </w:pPr>
            <w:r>
              <w:rPr>
                <w:sz w:val="20"/>
                <w:szCs w:val="20"/>
              </w:rPr>
              <w:t>农产品中重金属检测参数：镉。</w:t>
            </w:r>
          </w:p>
        </w:tc>
        <w:tc>
          <w:tcPr>
            <w:tcW w:w="2993"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详见农业农村厅文件</w:t>
            </w:r>
          </w:p>
        </w:tc>
        <w:tc>
          <w:tcPr>
            <w:tcW w:w="1128" w:type="dxa"/>
            <w:tcBorders>
              <w:top w:val="single" w:color="auto" w:sz="4" w:space="0"/>
              <w:left w:val="nil"/>
              <w:bottom w:val="single" w:color="auto" w:sz="4" w:space="0"/>
              <w:right w:val="single" w:color="auto" w:sz="4" w:space="0"/>
            </w:tcBorders>
            <w:vAlign w:val="center"/>
          </w:tcPr>
          <w:p>
            <w:pPr>
              <w:spacing w:line="300" w:lineRule="exact"/>
              <w:ind w:left="1"/>
              <w:jc w:val="center"/>
              <w:rPr>
                <w:sz w:val="20"/>
                <w:szCs w:val="20"/>
              </w:rPr>
            </w:pPr>
            <w:r>
              <w:rPr>
                <w:sz w:val="20"/>
                <w:szCs w:val="20"/>
              </w:rPr>
              <w:t>详见农业农村厅文件</w:t>
            </w:r>
          </w:p>
        </w:tc>
      </w:tr>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ind w:left="1"/>
              <w:jc w:val="center"/>
              <w:rPr>
                <w:sz w:val="20"/>
                <w:szCs w:val="20"/>
              </w:rPr>
            </w:pPr>
            <w:r>
              <w:rPr>
                <w:sz w:val="20"/>
                <w:szCs w:val="20"/>
              </w:rPr>
              <w:t>5</w:t>
            </w:r>
          </w:p>
        </w:tc>
        <w:tc>
          <w:tcPr>
            <w:tcW w:w="2128" w:type="dxa"/>
            <w:tcBorders>
              <w:top w:val="single" w:color="auto" w:sz="4" w:space="0"/>
              <w:left w:val="nil"/>
              <w:bottom w:val="single" w:color="auto" w:sz="4" w:space="0"/>
              <w:right w:val="single" w:color="auto" w:sz="4" w:space="0"/>
            </w:tcBorders>
            <w:vAlign w:val="center"/>
          </w:tcPr>
          <w:p>
            <w:pPr>
              <w:spacing w:line="320" w:lineRule="exact"/>
              <w:rPr>
                <w:sz w:val="20"/>
                <w:szCs w:val="20"/>
              </w:rPr>
            </w:pPr>
            <w:r>
              <w:rPr>
                <w:sz w:val="20"/>
                <w:szCs w:val="20"/>
              </w:rPr>
              <w:t>水中氨氮、化学需氧量的测定</w:t>
            </w:r>
          </w:p>
        </w:tc>
        <w:tc>
          <w:tcPr>
            <w:tcW w:w="2327"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氨氮、化学需氧量</w:t>
            </w:r>
          </w:p>
        </w:tc>
        <w:tc>
          <w:tcPr>
            <w:tcW w:w="2993"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HJ 535-2009 《水质氨氮的测定 纳氏试剂分光光度法》</w:t>
            </w:r>
          </w:p>
          <w:p>
            <w:pPr>
              <w:spacing w:line="300" w:lineRule="exact"/>
              <w:ind w:left="1"/>
              <w:rPr>
                <w:sz w:val="20"/>
                <w:szCs w:val="20"/>
              </w:rPr>
            </w:pPr>
            <w:r>
              <w:rPr>
                <w:sz w:val="20"/>
                <w:szCs w:val="20"/>
              </w:rPr>
              <w:t>HJ 536-2009 《水质氨氮的测定 水杨酸分光光度法》</w:t>
            </w:r>
          </w:p>
          <w:p>
            <w:pPr>
              <w:spacing w:line="300" w:lineRule="exact"/>
              <w:ind w:left="1"/>
              <w:rPr>
                <w:sz w:val="20"/>
                <w:szCs w:val="20"/>
              </w:rPr>
            </w:pPr>
            <w:r>
              <w:rPr>
                <w:sz w:val="20"/>
                <w:szCs w:val="20"/>
              </w:rPr>
              <w:t>HJ 828-2017 《水质化学需氧量的测定 重铬酸盐法》</w:t>
            </w:r>
          </w:p>
        </w:tc>
        <w:tc>
          <w:tcPr>
            <w:tcW w:w="1128" w:type="dxa"/>
            <w:tcBorders>
              <w:top w:val="single" w:color="auto" w:sz="4" w:space="0"/>
              <w:left w:val="nil"/>
              <w:bottom w:val="single" w:color="auto" w:sz="4" w:space="0"/>
              <w:right w:val="single" w:color="auto" w:sz="4" w:space="0"/>
            </w:tcBorders>
            <w:vAlign w:val="center"/>
          </w:tcPr>
          <w:p>
            <w:pPr>
              <w:spacing w:line="300" w:lineRule="exact"/>
              <w:ind w:left="1"/>
              <w:jc w:val="center"/>
              <w:rPr>
                <w:sz w:val="20"/>
                <w:szCs w:val="20"/>
              </w:rPr>
            </w:pPr>
            <w:r>
              <w:rPr>
                <w:bCs/>
                <w:sz w:val="20"/>
                <w:szCs w:val="20"/>
              </w:rPr>
              <w:t>7-11月</w:t>
            </w:r>
          </w:p>
        </w:tc>
      </w:tr>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ind w:left="1"/>
              <w:jc w:val="center"/>
              <w:rPr>
                <w:sz w:val="20"/>
                <w:szCs w:val="20"/>
              </w:rPr>
            </w:pPr>
            <w:r>
              <w:rPr>
                <w:sz w:val="20"/>
                <w:szCs w:val="20"/>
              </w:rPr>
              <w:t>6</w:t>
            </w:r>
          </w:p>
        </w:tc>
        <w:tc>
          <w:tcPr>
            <w:tcW w:w="2128" w:type="dxa"/>
            <w:tcBorders>
              <w:top w:val="single" w:color="auto" w:sz="4" w:space="0"/>
              <w:left w:val="nil"/>
              <w:bottom w:val="single" w:color="auto" w:sz="4" w:space="0"/>
              <w:right w:val="single" w:color="auto" w:sz="4" w:space="0"/>
            </w:tcBorders>
            <w:vAlign w:val="center"/>
          </w:tcPr>
          <w:p>
            <w:pPr>
              <w:spacing w:line="320" w:lineRule="exact"/>
              <w:rPr>
                <w:sz w:val="20"/>
                <w:szCs w:val="20"/>
              </w:rPr>
            </w:pPr>
            <w:r>
              <w:rPr>
                <w:sz w:val="20"/>
                <w:szCs w:val="20"/>
              </w:rPr>
              <w:t>机动车前照灯远光光束发光强度的检测</w:t>
            </w:r>
          </w:p>
        </w:tc>
        <w:tc>
          <w:tcPr>
            <w:tcW w:w="2327"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发光强度</w:t>
            </w:r>
          </w:p>
        </w:tc>
        <w:tc>
          <w:tcPr>
            <w:tcW w:w="2993"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参考GB 21861-2014《机动车安全技术检验项目和方法》和GB 7258-2017《机动车运行安全技术条件》中的有关内容，按照本次机动车前照灯远光光束发光强度检测的能力验证计划的作业指导书进行。</w:t>
            </w:r>
          </w:p>
        </w:tc>
        <w:tc>
          <w:tcPr>
            <w:tcW w:w="1128" w:type="dxa"/>
            <w:tcBorders>
              <w:top w:val="single" w:color="auto" w:sz="4" w:space="0"/>
              <w:left w:val="nil"/>
              <w:bottom w:val="single" w:color="auto" w:sz="4" w:space="0"/>
              <w:right w:val="single" w:color="auto" w:sz="4" w:space="0"/>
            </w:tcBorders>
            <w:vAlign w:val="center"/>
          </w:tcPr>
          <w:p>
            <w:pPr>
              <w:spacing w:line="300" w:lineRule="exact"/>
              <w:ind w:left="1"/>
              <w:jc w:val="center"/>
              <w:rPr>
                <w:bCs/>
                <w:sz w:val="20"/>
                <w:szCs w:val="20"/>
              </w:rPr>
            </w:pPr>
            <w:r>
              <w:rPr>
                <w:bCs/>
                <w:sz w:val="20"/>
                <w:szCs w:val="20"/>
              </w:rPr>
              <w:t>7-11月</w:t>
            </w:r>
          </w:p>
        </w:tc>
      </w:tr>
      <w:tr>
        <w:tblPrEx>
          <w:tblLayout w:type="fixed"/>
          <w:tblCellMar>
            <w:top w:w="0" w:type="dxa"/>
            <w:left w:w="108" w:type="dxa"/>
            <w:bottom w:w="0" w:type="dxa"/>
            <w:right w:w="108" w:type="dxa"/>
          </w:tblCellMar>
        </w:tblPrEx>
        <w:trPr>
          <w:trHeight w:val="1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spacing w:line="320" w:lineRule="exact"/>
              <w:ind w:left="1"/>
              <w:jc w:val="center"/>
              <w:rPr>
                <w:sz w:val="20"/>
                <w:szCs w:val="20"/>
              </w:rPr>
            </w:pPr>
            <w:r>
              <w:rPr>
                <w:sz w:val="20"/>
                <w:szCs w:val="20"/>
              </w:rPr>
              <w:t>7</w:t>
            </w:r>
          </w:p>
        </w:tc>
        <w:tc>
          <w:tcPr>
            <w:tcW w:w="2128" w:type="dxa"/>
            <w:tcBorders>
              <w:top w:val="single" w:color="auto" w:sz="4" w:space="0"/>
              <w:left w:val="nil"/>
              <w:bottom w:val="single" w:color="auto" w:sz="4" w:space="0"/>
              <w:right w:val="single" w:color="auto" w:sz="4" w:space="0"/>
            </w:tcBorders>
            <w:vAlign w:val="center"/>
          </w:tcPr>
          <w:p>
            <w:pPr>
              <w:spacing w:line="320" w:lineRule="exact"/>
              <w:rPr>
                <w:sz w:val="20"/>
                <w:szCs w:val="20"/>
              </w:rPr>
            </w:pPr>
            <w:r>
              <w:rPr>
                <w:sz w:val="20"/>
                <w:szCs w:val="20"/>
              </w:rPr>
              <w:t>电线电缆导体电阻测试</w:t>
            </w:r>
          </w:p>
        </w:tc>
        <w:tc>
          <w:tcPr>
            <w:tcW w:w="2327"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20</w:t>
            </w:r>
            <w:r>
              <w:rPr>
                <w:rFonts w:hint="eastAsia" w:ascii="宋体" w:hAnsi="宋体" w:eastAsia="宋体" w:cs="宋体"/>
                <w:sz w:val="20"/>
                <w:szCs w:val="20"/>
              </w:rPr>
              <w:t>℃</w:t>
            </w:r>
            <w:r>
              <w:rPr>
                <w:sz w:val="20"/>
                <w:szCs w:val="20"/>
              </w:rPr>
              <w:t>导体电阻</w:t>
            </w:r>
          </w:p>
        </w:tc>
        <w:tc>
          <w:tcPr>
            <w:tcW w:w="2993" w:type="dxa"/>
            <w:tcBorders>
              <w:top w:val="single" w:color="auto" w:sz="4" w:space="0"/>
              <w:left w:val="nil"/>
              <w:bottom w:val="single" w:color="auto" w:sz="4" w:space="0"/>
              <w:right w:val="single" w:color="auto" w:sz="4" w:space="0"/>
            </w:tcBorders>
            <w:vAlign w:val="center"/>
          </w:tcPr>
          <w:p>
            <w:pPr>
              <w:spacing w:line="300" w:lineRule="exact"/>
              <w:ind w:left="1"/>
              <w:rPr>
                <w:sz w:val="20"/>
                <w:szCs w:val="20"/>
              </w:rPr>
            </w:pPr>
            <w:r>
              <w:rPr>
                <w:sz w:val="20"/>
                <w:szCs w:val="20"/>
              </w:rPr>
              <w:t>GB/T 3048.4-2007  导体直流电阻试验</w:t>
            </w:r>
          </w:p>
        </w:tc>
        <w:tc>
          <w:tcPr>
            <w:tcW w:w="1128" w:type="dxa"/>
            <w:tcBorders>
              <w:top w:val="single" w:color="auto" w:sz="4" w:space="0"/>
              <w:left w:val="nil"/>
              <w:bottom w:val="single" w:color="auto" w:sz="4" w:space="0"/>
              <w:right w:val="single" w:color="auto" w:sz="4" w:space="0"/>
            </w:tcBorders>
            <w:vAlign w:val="center"/>
          </w:tcPr>
          <w:p>
            <w:pPr>
              <w:spacing w:line="300" w:lineRule="exact"/>
              <w:ind w:left="1"/>
              <w:jc w:val="center"/>
              <w:rPr>
                <w:bCs/>
                <w:sz w:val="20"/>
                <w:szCs w:val="20"/>
              </w:rPr>
            </w:pPr>
            <w:r>
              <w:rPr>
                <w:bCs/>
                <w:sz w:val="20"/>
                <w:szCs w:val="20"/>
              </w:rPr>
              <w:t>7-11月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3127A"/>
    <w:rsid w:val="21731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2020-05-25T07:59:00Z</dcterms:created>
  <dc:creator>admin</dc:creator>
  <cp:lastModifiedBy>admin</cp:lastModifiedBy>
  <dcterms:modified xsi:type="dcterms:W3CDTF">2020-05-25T08:01:42Z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