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BEA57" w14:textId="77777777" w:rsidR="00076A0C" w:rsidRDefault="00892F5C" w:rsidP="00001F2E">
      <w:pPr>
        <w:spacing w:line="580" w:lineRule="exact"/>
        <w:jc w:val="center"/>
        <w:rPr>
          <w:rFonts w:ascii="方正小标宋简体" w:eastAsia="方正小标宋简体"/>
          <w:sz w:val="44"/>
          <w:szCs w:val="44"/>
        </w:rPr>
      </w:pPr>
      <w:r w:rsidRPr="00076A0C">
        <w:rPr>
          <w:rFonts w:ascii="方正小标宋简体" w:eastAsia="方正小标宋简体" w:hint="eastAsia"/>
          <w:sz w:val="44"/>
          <w:szCs w:val="44"/>
        </w:rPr>
        <w:t>山东省市场监管</w:t>
      </w:r>
      <w:r w:rsidR="00DB4A14" w:rsidRPr="00076A0C">
        <w:rPr>
          <w:rFonts w:ascii="方正小标宋简体" w:eastAsia="方正小标宋简体" w:hint="eastAsia"/>
          <w:sz w:val="44"/>
          <w:szCs w:val="44"/>
        </w:rPr>
        <w:t>系统</w:t>
      </w:r>
    </w:p>
    <w:p w14:paraId="4F19BB69" w14:textId="77777777" w:rsidR="00DB4A14" w:rsidRDefault="00DB4A14" w:rsidP="00001F2E">
      <w:pPr>
        <w:spacing w:line="580" w:lineRule="exact"/>
        <w:jc w:val="center"/>
        <w:rPr>
          <w:rFonts w:ascii="方正小标宋简体" w:eastAsia="方正小标宋简体"/>
          <w:sz w:val="44"/>
          <w:szCs w:val="44"/>
        </w:rPr>
      </w:pPr>
      <w:r w:rsidRPr="00076A0C">
        <w:rPr>
          <w:rFonts w:ascii="方正小标宋简体" w:eastAsia="方正小标宋简体" w:hint="eastAsia"/>
          <w:sz w:val="44"/>
          <w:szCs w:val="44"/>
        </w:rPr>
        <w:t>企业信用</w:t>
      </w:r>
      <w:r w:rsidR="004B53C5">
        <w:rPr>
          <w:rFonts w:ascii="方正小标宋简体" w:eastAsia="方正小标宋简体" w:hint="eastAsia"/>
          <w:sz w:val="44"/>
          <w:szCs w:val="44"/>
        </w:rPr>
        <w:t>风险</w:t>
      </w:r>
      <w:r w:rsidRPr="00076A0C">
        <w:rPr>
          <w:rFonts w:ascii="方正小标宋简体" w:eastAsia="方正小标宋简体" w:hint="eastAsia"/>
          <w:sz w:val="44"/>
          <w:szCs w:val="44"/>
        </w:rPr>
        <w:t>分类</w:t>
      </w:r>
      <w:r w:rsidR="00B07641">
        <w:rPr>
          <w:rFonts w:ascii="方正小标宋简体" w:eastAsia="方正小标宋简体" w:hint="eastAsia"/>
          <w:sz w:val="44"/>
          <w:szCs w:val="44"/>
        </w:rPr>
        <w:t>管理</w:t>
      </w:r>
      <w:r w:rsidRPr="00076A0C">
        <w:rPr>
          <w:rFonts w:ascii="方正小标宋简体" w:eastAsia="方正小标宋简体" w:hint="eastAsia"/>
          <w:sz w:val="44"/>
          <w:szCs w:val="44"/>
        </w:rPr>
        <w:t>办法</w:t>
      </w:r>
      <w:r w:rsidR="00B07641">
        <w:rPr>
          <w:rFonts w:ascii="方正小标宋简体" w:eastAsia="方正小标宋简体" w:hint="eastAsia"/>
          <w:sz w:val="44"/>
          <w:szCs w:val="44"/>
        </w:rPr>
        <w:t>（试行</w:t>
      </w:r>
      <w:r w:rsidR="00B07641">
        <w:rPr>
          <w:rFonts w:ascii="方正小标宋简体" w:eastAsia="方正小标宋简体"/>
          <w:sz w:val="44"/>
          <w:szCs w:val="44"/>
        </w:rPr>
        <w:t>）</w:t>
      </w:r>
    </w:p>
    <w:p w14:paraId="4B31E8F2" w14:textId="3592C96C" w:rsidR="00877ADD" w:rsidRDefault="00E435D6" w:rsidP="00001F2E">
      <w:pPr>
        <w:spacing w:line="580" w:lineRule="exact"/>
        <w:jc w:val="center"/>
        <w:rPr>
          <w:rFonts w:ascii="楷体" w:eastAsia="楷体" w:hAnsi="楷体"/>
          <w:sz w:val="32"/>
          <w:szCs w:val="32"/>
        </w:rPr>
      </w:pPr>
      <w:r w:rsidRPr="00E435D6">
        <w:rPr>
          <w:rFonts w:ascii="楷体" w:eastAsia="楷体" w:hAnsi="楷体" w:hint="eastAsia"/>
          <w:sz w:val="32"/>
          <w:szCs w:val="32"/>
        </w:rPr>
        <w:t>（</w:t>
      </w:r>
      <w:r w:rsidR="007433D0">
        <w:rPr>
          <w:rFonts w:ascii="楷体" w:eastAsia="楷体" w:hAnsi="楷体" w:hint="eastAsia"/>
          <w:sz w:val="32"/>
          <w:szCs w:val="32"/>
        </w:rPr>
        <w:t>征求</w:t>
      </w:r>
      <w:r w:rsidR="007433D0">
        <w:rPr>
          <w:rFonts w:ascii="楷体" w:eastAsia="楷体" w:hAnsi="楷体"/>
          <w:sz w:val="32"/>
          <w:szCs w:val="32"/>
        </w:rPr>
        <w:t>意见</w:t>
      </w:r>
      <w:bookmarkStart w:id="0" w:name="_GoBack"/>
      <w:bookmarkEnd w:id="0"/>
      <w:r w:rsidRPr="00E435D6">
        <w:rPr>
          <w:rFonts w:ascii="楷体" w:eastAsia="楷体" w:hAnsi="楷体" w:hint="eastAsia"/>
          <w:sz w:val="32"/>
          <w:szCs w:val="32"/>
        </w:rPr>
        <w:t>稿</w:t>
      </w:r>
      <w:r w:rsidRPr="00E435D6">
        <w:rPr>
          <w:rFonts w:ascii="楷体" w:eastAsia="楷体" w:hAnsi="楷体"/>
          <w:sz w:val="32"/>
          <w:szCs w:val="32"/>
        </w:rPr>
        <w:t>）</w:t>
      </w:r>
    </w:p>
    <w:p w14:paraId="5816E224" w14:textId="77777777" w:rsidR="00E435D6" w:rsidRPr="00E435D6" w:rsidRDefault="00E435D6" w:rsidP="00001F2E">
      <w:pPr>
        <w:spacing w:line="580" w:lineRule="exact"/>
        <w:jc w:val="center"/>
        <w:rPr>
          <w:rFonts w:ascii="楷体" w:eastAsia="楷体" w:hAnsi="楷体"/>
          <w:sz w:val="32"/>
          <w:szCs w:val="32"/>
        </w:rPr>
      </w:pPr>
    </w:p>
    <w:p w14:paraId="28788EC0" w14:textId="77777777" w:rsidR="00877ADD" w:rsidRPr="00C760A8" w:rsidRDefault="00877ADD" w:rsidP="00877ADD">
      <w:pPr>
        <w:ind w:firstLine="660"/>
        <w:jc w:val="center"/>
        <w:rPr>
          <w:rFonts w:ascii="仿宋" w:eastAsia="仿宋" w:hAnsi="仿宋"/>
          <w:b/>
          <w:sz w:val="32"/>
          <w:szCs w:val="32"/>
        </w:rPr>
      </w:pPr>
      <w:r w:rsidRPr="00C760A8">
        <w:rPr>
          <w:rFonts w:ascii="仿宋" w:eastAsia="仿宋" w:hAnsi="仿宋" w:hint="eastAsia"/>
          <w:b/>
          <w:sz w:val="32"/>
          <w:szCs w:val="32"/>
        </w:rPr>
        <w:t>第一章  总则</w:t>
      </w:r>
    </w:p>
    <w:p w14:paraId="3409239B"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第一条【目的与依据】</w:t>
      </w:r>
      <w:r>
        <w:rPr>
          <w:rFonts w:ascii="仿宋" w:eastAsia="仿宋" w:hAnsi="仿宋" w:hint="eastAsia"/>
          <w:sz w:val="32"/>
          <w:szCs w:val="32"/>
        </w:rPr>
        <w:t xml:space="preserve"> </w:t>
      </w:r>
      <w:r w:rsidRPr="00B71D79">
        <w:rPr>
          <w:rFonts w:ascii="仿宋" w:eastAsia="仿宋" w:hAnsi="仿宋" w:hint="eastAsia"/>
          <w:sz w:val="32"/>
          <w:szCs w:val="32"/>
        </w:rPr>
        <w:t>为加强企业信用风险分类管理，提升监管的科学性、精准性、有效性，降低社会治理的制度性成本，完善以信用监管为基础的新型市场监管机制，加快构建富有山东特点的差异化监管新模式，根据《企业信息公示暂行条例》《国务院关于在市场监管领域全面推行部门联合“双随机、一公开”监管的意见》（国发〔2019〕5号）、《国务院关于加强和规范事中事后监管的指导意见》（国发〔2019〕18号）、《国务院办公厅关于加快推进社会信用体系建设构建以信用为基础的新型监管机制的指导意见》（国办发〔2019〕35号）等有关规定，制定本办法。</w:t>
      </w:r>
    </w:p>
    <w:p w14:paraId="5DA7D290"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第二条【适用范围】</w:t>
      </w:r>
      <w:r>
        <w:rPr>
          <w:rFonts w:ascii="仿宋" w:eastAsia="仿宋" w:hAnsi="仿宋" w:hint="eastAsia"/>
          <w:sz w:val="32"/>
          <w:szCs w:val="32"/>
        </w:rPr>
        <w:t xml:space="preserve"> </w:t>
      </w:r>
      <w:r w:rsidRPr="00B71D79">
        <w:rPr>
          <w:rFonts w:ascii="仿宋" w:eastAsia="仿宋" w:hAnsi="仿宋" w:hint="eastAsia"/>
          <w:sz w:val="32"/>
          <w:szCs w:val="32"/>
        </w:rPr>
        <w:t>全省各级市场监管部门实施企业信用风险分类管理，对市场监管风险点进行监测预警和精准识别，根据企业信用风险分类状况，开展市场监管和行政执法工作，适用本办法。</w:t>
      </w:r>
    </w:p>
    <w:p w14:paraId="0A45D5AD"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第三条【概念】</w:t>
      </w:r>
      <w:r>
        <w:rPr>
          <w:rFonts w:ascii="仿宋" w:eastAsia="仿宋" w:hAnsi="仿宋" w:hint="eastAsia"/>
          <w:sz w:val="32"/>
          <w:szCs w:val="32"/>
        </w:rPr>
        <w:t xml:space="preserve"> </w:t>
      </w:r>
      <w:r w:rsidRPr="00B71D79">
        <w:rPr>
          <w:rFonts w:ascii="仿宋" w:eastAsia="仿宋" w:hAnsi="仿宋" w:hint="eastAsia"/>
          <w:sz w:val="32"/>
          <w:szCs w:val="32"/>
        </w:rPr>
        <w:t>本办法所称企业，是指依法在我省登记注册的各类企业，包括各类法人企业、非法人企业及其分支机构，不包括农民专业合作社和个体工商户。</w:t>
      </w:r>
    </w:p>
    <w:p w14:paraId="34230EE3"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lastRenderedPageBreak/>
        <w:t>本办法所称企业信用风险分类管理，是指全省各级市场监管部门在依法归集企业信用信息的基础上，按照本办法规定的企业信用风险分类标准，运用互联网、大数据、机器学习等现代技术手段对企业信用风险进行自动分类，对主要风险点实现精准识别和监测预警，并根据分类结果实施差异化监管的活动。</w:t>
      </w:r>
    </w:p>
    <w:p w14:paraId="3FFEE76B"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第四条【职责分工】</w:t>
      </w:r>
      <w:r>
        <w:rPr>
          <w:rFonts w:ascii="仿宋" w:eastAsia="仿宋" w:hAnsi="仿宋" w:hint="eastAsia"/>
          <w:sz w:val="32"/>
          <w:szCs w:val="32"/>
        </w:rPr>
        <w:t xml:space="preserve"> </w:t>
      </w:r>
      <w:r w:rsidRPr="00B71D79">
        <w:rPr>
          <w:rFonts w:ascii="仿宋" w:eastAsia="仿宋" w:hAnsi="仿宋" w:hint="eastAsia"/>
          <w:sz w:val="32"/>
          <w:szCs w:val="32"/>
        </w:rPr>
        <w:t>省市场监管局负责全省企业信用风险分类管理工作的组织、指导和督查，制订完善全省企业信用风险分类标准和差异化监管措施，组织实施企业信用风险分类，建设、管理企业信用风险分类管理信息化系统。</w:t>
      </w:r>
    </w:p>
    <w:p w14:paraId="3100BC41"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各设区市市场监管局负责组织实施本辖区企业信用风险分类管理工作，根据实际完善本地企业信用风险分类标准和差异化监管措施。</w:t>
      </w:r>
    </w:p>
    <w:p w14:paraId="0442CEED"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各县（市、区）市场监管局负责具体实施本辖区企业信用风险分类管理工作。</w:t>
      </w:r>
    </w:p>
    <w:p w14:paraId="12090E40"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第五条【工作定位】</w:t>
      </w:r>
      <w:r>
        <w:rPr>
          <w:rFonts w:ascii="仿宋" w:eastAsia="仿宋" w:hAnsi="仿宋" w:hint="eastAsia"/>
          <w:sz w:val="32"/>
          <w:szCs w:val="32"/>
        </w:rPr>
        <w:t xml:space="preserve"> </w:t>
      </w:r>
      <w:r w:rsidRPr="00B71D79">
        <w:rPr>
          <w:rFonts w:ascii="仿宋" w:eastAsia="仿宋" w:hAnsi="仿宋" w:hint="eastAsia"/>
          <w:sz w:val="32"/>
          <w:szCs w:val="32"/>
        </w:rPr>
        <w:t>企业信用风险分类管理遵循科学合理、客观公正、内部评价、分类实施、协同运用的原则，分类结果仅作为市场监管部门配置监管资源，实施差异化监管的依据，不向社会公开，不作为政府部门对企业信用的背书。</w:t>
      </w:r>
    </w:p>
    <w:p w14:paraId="007470EA"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第六条【系统支撑】</w:t>
      </w:r>
      <w:r>
        <w:rPr>
          <w:rFonts w:ascii="仿宋" w:eastAsia="仿宋" w:hAnsi="仿宋"/>
          <w:sz w:val="32"/>
          <w:szCs w:val="32"/>
        </w:rPr>
        <w:t xml:space="preserve"> </w:t>
      </w:r>
      <w:r w:rsidRPr="00B71D79">
        <w:rPr>
          <w:rFonts w:ascii="仿宋" w:eastAsia="仿宋" w:hAnsi="仿宋" w:hint="eastAsia"/>
          <w:sz w:val="32"/>
          <w:szCs w:val="32"/>
        </w:rPr>
        <w:t>企业信用风险分类管理以涉企信息归集为基础，以国家企业信用信息公示系统（山东）为支</w:t>
      </w:r>
      <w:r w:rsidRPr="00B71D79">
        <w:rPr>
          <w:rFonts w:ascii="仿宋" w:eastAsia="仿宋" w:hAnsi="仿宋" w:hint="eastAsia"/>
          <w:sz w:val="32"/>
          <w:szCs w:val="32"/>
        </w:rPr>
        <w:lastRenderedPageBreak/>
        <w:t>撑，与“双随机、一公开”监管、“互联网+监管”、信用监管联动协同，提升事中事后监管精准化水平。</w:t>
      </w:r>
    </w:p>
    <w:p w14:paraId="0E1C7550" w14:textId="5C8F129B"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第七条【信息共享】</w:t>
      </w:r>
      <w:r>
        <w:rPr>
          <w:rFonts w:ascii="仿宋" w:eastAsia="仿宋" w:hAnsi="仿宋"/>
          <w:sz w:val="32"/>
          <w:szCs w:val="32"/>
        </w:rPr>
        <w:t xml:space="preserve"> </w:t>
      </w:r>
      <w:r w:rsidRPr="00B71D79">
        <w:rPr>
          <w:rFonts w:ascii="仿宋" w:eastAsia="仿宋" w:hAnsi="仿宋" w:hint="eastAsia"/>
          <w:sz w:val="32"/>
          <w:szCs w:val="32"/>
        </w:rPr>
        <w:t>省市场监管局通过企业信用风险分类管理信息化系统和国家企业信用信息公示系统（山东）协同监管门户将企业信用风险分类结果共享给各级市场监管部门</w:t>
      </w:r>
      <w:r w:rsidR="00D03016">
        <w:rPr>
          <w:rFonts w:ascii="仿宋" w:eastAsia="仿宋" w:hAnsi="仿宋" w:hint="eastAsia"/>
          <w:sz w:val="32"/>
          <w:szCs w:val="32"/>
        </w:rPr>
        <w:t>，供</w:t>
      </w:r>
      <w:r w:rsidR="00D03016">
        <w:rPr>
          <w:rFonts w:ascii="仿宋" w:eastAsia="仿宋" w:hAnsi="仿宋"/>
          <w:sz w:val="32"/>
          <w:szCs w:val="32"/>
        </w:rPr>
        <w:t>实施差异化监管时参考</w:t>
      </w:r>
      <w:r w:rsidRPr="00B71D79">
        <w:rPr>
          <w:rFonts w:ascii="仿宋" w:eastAsia="仿宋" w:hAnsi="仿宋" w:hint="eastAsia"/>
          <w:sz w:val="32"/>
          <w:szCs w:val="32"/>
        </w:rPr>
        <w:t>。</w:t>
      </w:r>
    </w:p>
    <w:p w14:paraId="74CD294B"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第八条【数据安全】</w:t>
      </w:r>
      <w:r>
        <w:rPr>
          <w:rFonts w:ascii="仿宋" w:eastAsia="仿宋" w:hAnsi="仿宋"/>
          <w:sz w:val="32"/>
          <w:szCs w:val="32"/>
        </w:rPr>
        <w:t xml:space="preserve"> </w:t>
      </w:r>
      <w:r w:rsidRPr="00B71D79">
        <w:rPr>
          <w:rFonts w:ascii="仿宋" w:eastAsia="仿宋" w:hAnsi="仿宋" w:hint="eastAsia"/>
          <w:sz w:val="32"/>
          <w:szCs w:val="32"/>
        </w:rPr>
        <w:t>各级市场监管部门与参与工作的第三方机构签订保密协议，加强对涉及国家利益、公共安全、商业秘密和个人隐私等信息的保护，防止失密泄密和侵犯个人隐私，确保数据安全和信息安全。</w:t>
      </w:r>
    </w:p>
    <w:p w14:paraId="7DB62687" w14:textId="77777777" w:rsidR="00877ADD" w:rsidRPr="00C760A8" w:rsidRDefault="00877ADD" w:rsidP="00877ADD">
      <w:pPr>
        <w:jc w:val="center"/>
        <w:rPr>
          <w:rFonts w:ascii="仿宋" w:eastAsia="仿宋" w:hAnsi="仿宋"/>
          <w:b/>
          <w:sz w:val="32"/>
          <w:szCs w:val="32"/>
        </w:rPr>
      </w:pPr>
      <w:r w:rsidRPr="00C760A8">
        <w:rPr>
          <w:rFonts w:ascii="仿宋" w:eastAsia="仿宋" w:hAnsi="仿宋" w:hint="eastAsia"/>
          <w:b/>
          <w:sz w:val="32"/>
          <w:szCs w:val="32"/>
        </w:rPr>
        <w:t>第二章  企业信用风险分类</w:t>
      </w:r>
    </w:p>
    <w:p w14:paraId="4FF11070"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第九条【数据来源】</w:t>
      </w:r>
      <w:r>
        <w:rPr>
          <w:rFonts w:ascii="仿宋" w:eastAsia="仿宋" w:hAnsi="仿宋" w:hint="eastAsia"/>
          <w:sz w:val="32"/>
          <w:szCs w:val="32"/>
        </w:rPr>
        <w:t xml:space="preserve"> </w:t>
      </w:r>
      <w:r w:rsidRPr="00B71D79">
        <w:rPr>
          <w:rFonts w:ascii="仿宋" w:eastAsia="仿宋" w:hAnsi="仿宋" w:hint="eastAsia"/>
          <w:sz w:val="32"/>
          <w:szCs w:val="32"/>
        </w:rPr>
        <w:t>市场监管系统企业信用风险分类使用的数据为国家企业信用信息公示系统（山东）、省政务信息资源共享交换平台和省“互联网+监管”系统归集的各类涉企信息，包括企业登记注册信息、行政许可信息、生产经营信息、监管行为信息、抽查检查结果信息、投诉举报信息、经营异常名录和各类“黑名单”信息、舆情信息、第三方平台信息等。</w:t>
      </w:r>
    </w:p>
    <w:p w14:paraId="6E107B37"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第十条【分类原则】</w:t>
      </w:r>
      <w:r>
        <w:rPr>
          <w:rFonts w:ascii="仿宋" w:eastAsia="仿宋" w:hAnsi="仿宋" w:hint="eastAsia"/>
          <w:sz w:val="32"/>
          <w:szCs w:val="32"/>
        </w:rPr>
        <w:t xml:space="preserve"> </w:t>
      </w:r>
      <w:r w:rsidRPr="00B71D79">
        <w:rPr>
          <w:rFonts w:ascii="仿宋" w:eastAsia="仿宋" w:hAnsi="仿宋" w:hint="eastAsia"/>
          <w:sz w:val="32"/>
          <w:szCs w:val="32"/>
        </w:rPr>
        <w:t>企业信用风险分类坚持定量分析与定性判定结合的原则，合理选择风险指标，科学赋予指标权重，建立企业信用风险分类管理指标体系；综合考虑日常监管经验、数据归集、行业分布、监管重点、司法协助等因</w:t>
      </w:r>
      <w:r w:rsidRPr="00B71D79">
        <w:rPr>
          <w:rFonts w:ascii="仿宋" w:eastAsia="仿宋" w:hAnsi="仿宋" w:hint="eastAsia"/>
          <w:sz w:val="32"/>
          <w:szCs w:val="32"/>
        </w:rPr>
        <w:lastRenderedPageBreak/>
        <w:t>素，对企业信用风险状况予以判定。持续优化完善企业信用分类指标，探索建立企业信用风险与自然人信用风险挂钩机制，将企业董事、监事、高级管理人员违法失信信息作为企业信用风险的判定指标内容，不断提高分类的科学性。</w:t>
      </w:r>
    </w:p>
    <w:p w14:paraId="0953E7B7"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第十一条【指标体系】</w:t>
      </w:r>
      <w:r>
        <w:rPr>
          <w:rFonts w:ascii="仿宋" w:eastAsia="仿宋" w:hAnsi="仿宋" w:hint="eastAsia"/>
          <w:sz w:val="32"/>
          <w:szCs w:val="32"/>
        </w:rPr>
        <w:t xml:space="preserve"> </w:t>
      </w:r>
      <w:r w:rsidRPr="00B71D79">
        <w:rPr>
          <w:rFonts w:ascii="仿宋" w:eastAsia="仿宋" w:hAnsi="仿宋" w:hint="eastAsia"/>
          <w:sz w:val="32"/>
          <w:szCs w:val="32"/>
        </w:rPr>
        <w:t>从企业属性、登记许可、年报公示、合规信息、舆情关联、关联企业、经营能力等7个维度，进一步细化二级、三级指标项，由各监管条线业务专家评定指标权重，运用既往监管结果信息进行验证后，确定指标体系。</w:t>
      </w:r>
    </w:p>
    <w:p w14:paraId="72ED1F55"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第十二条【分类结果】</w:t>
      </w:r>
      <w:r>
        <w:rPr>
          <w:rFonts w:ascii="仿宋" w:eastAsia="仿宋" w:hAnsi="仿宋" w:hint="eastAsia"/>
          <w:sz w:val="32"/>
          <w:szCs w:val="32"/>
        </w:rPr>
        <w:t xml:space="preserve"> </w:t>
      </w:r>
      <w:r w:rsidRPr="00B71D79">
        <w:rPr>
          <w:rFonts w:ascii="仿宋" w:eastAsia="仿宋" w:hAnsi="仿宋" w:hint="eastAsia"/>
          <w:sz w:val="32"/>
          <w:szCs w:val="32"/>
        </w:rPr>
        <w:t>基于海量涉企信息数据，运用人工智能算法，由企业信用风险分类管理信息化系统对企业仍在影响期内的信息分析后，自动对企业赋分。根据不同的得分区间，结合定性判定规则，将企业划分为A、B、C、D、E五类。</w:t>
      </w:r>
    </w:p>
    <w:p w14:paraId="0DD80781"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第十三条【更新规则】</w:t>
      </w:r>
      <w:r>
        <w:rPr>
          <w:rFonts w:ascii="仿宋" w:eastAsia="仿宋" w:hAnsi="仿宋" w:hint="eastAsia"/>
          <w:sz w:val="32"/>
          <w:szCs w:val="32"/>
        </w:rPr>
        <w:t xml:space="preserve"> </w:t>
      </w:r>
      <w:r w:rsidRPr="00B71D79">
        <w:rPr>
          <w:rFonts w:ascii="仿宋" w:eastAsia="仿宋" w:hAnsi="仿宋" w:hint="eastAsia"/>
          <w:sz w:val="32"/>
          <w:szCs w:val="32"/>
        </w:rPr>
        <w:t>基于企业信用风险分类管理指标体系，利用互联网、大数据、人工智能、机器学习等现代技术手段，对涉企信息数据充分挖掘，实现对企业信用风险状况的自动分类、动态更新。</w:t>
      </w:r>
    </w:p>
    <w:p w14:paraId="33A48AA6"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第十四条【排除条件】</w:t>
      </w:r>
      <w:r>
        <w:rPr>
          <w:rFonts w:ascii="仿宋" w:eastAsia="仿宋" w:hAnsi="仿宋" w:hint="eastAsia"/>
          <w:sz w:val="32"/>
          <w:szCs w:val="32"/>
        </w:rPr>
        <w:t xml:space="preserve"> </w:t>
      </w:r>
      <w:r w:rsidRPr="00B71D79">
        <w:rPr>
          <w:rFonts w:ascii="仿宋" w:eastAsia="仿宋" w:hAnsi="仿宋" w:hint="eastAsia"/>
          <w:sz w:val="32"/>
          <w:szCs w:val="32"/>
        </w:rPr>
        <w:t>下列信息，不作为企业信用风险分类的依据：</w:t>
      </w:r>
    </w:p>
    <w:p w14:paraId="4A67D147"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（一）超出法定公示期间不再公示的信用信息；</w:t>
      </w:r>
    </w:p>
    <w:p w14:paraId="0BD47BDE"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（二）被撤销或被确认违法的具体行政行为中影响企业</w:t>
      </w:r>
      <w:r w:rsidRPr="00B71D79">
        <w:rPr>
          <w:rFonts w:ascii="仿宋" w:eastAsia="仿宋" w:hAnsi="仿宋" w:hint="eastAsia"/>
          <w:sz w:val="32"/>
          <w:szCs w:val="32"/>
        </w:rPr>
        <w:lastRenderedPageBreak/>
        <w:t>信用的信息；</w:t>
      </w:r>
    </w:p>
    <w:p w14:paraId="71A0BCC7"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（三）发生变更的具体行政行为，其中变更部分的信用信息；</w:t>
      </w:r>
    </w:p>
    <w:p w14:paraId="3E7702EC"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（四）部分撤销的具体行政行为，其中撤销部分的信用信息。</w:t>
      </w:r>
    </w:p>
    <w:p w14:paraId="76B7EF79"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（五）其他影响分类的信用信息被相关机构认定为误判、错误、笔误等与真实情况有偏差的。</w:t>
      </w:r>
    </w:p>
    <w:p w14:paraId="096AE9B3"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（六）其他依法依规不应作为分类依据的信息。</w:t>
      </w:r>
    </w:p>
    <w:p w14:paraId="65942B80"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第十五条【A类</w:t>
      </w:r>
      <w:r>
        <w:rPr>
          <w:rFonts w:ascii="仿宋" w:eastAsia="仿宋" w:hAnsi="仿宋" w:hint="eastAsia"/>
          <w:sz w:val="32"/>
          <w:szCs w:val="32"/>
        </w:rPr>
        <w:t>企业</w:t>
      </w:r>
      <w:r w:rsidRPr="00B71D79">
        <w:rPr>
          <w:rFonts w:ascii="仿宋" w:eastAsia="仿宋" w:hAnsi="仿宋" w:hint="eastAsia"/>
          <w:sz w:val="32"/>
          <w:szCs w:val="32"/>
        </w:rPr>
        <w:t>排除情形】</w:t>
      </w:r>
      <w:r>
        <w:rPr>
          <w:rFonts w:ascii="仿宋" w:eastAsia="仿宋" w:hAnsi="仿宋" w:hint="eastAsia"/>
          <w:sz w:val="32"/>
          <w:szCs w:val="32"/>
        </w:rPr>
        <w:t xml:space="preserve"> </w:t>
      </w:r>
      <w:r w:rsidRPr="00B71D79">
        <w:rPr>
          <w:rFonts w:ascii="仿宋" w:eastAsia="仿宋" w:hAnsi="仿宋" w:hint="eastAsia"/>
          <w:sz w:val="32"/>
          <w:szCs w:val="32"/>
        </w:rPr>
        <w:t>有下列情形之一的，不会判定为</w:t>
      </w:r>
      <w:r>
        <w:rPr>
          <w:rFonts w:ascii="仿宋" w:eastAsia="仿宋" w:hAnsi="仿宋" w:hint="eastAsia"/>
          <w:sz w:val="32"/>
          <w:szCs w:val="32"/>
        </w:rPr>
        <w:t>A类企业</w:t>
      </w:r>
      <w:r w:rsidRPr="00B71D79">
        <w:rPr>
          <w:rFonts w:ascii="仿宋" w:eastAsia="仿宋" w:hAnsi="仿宋" w:hint="eastAsia"/>
          <w:sz w:val="32"/>
          <w:szCs w:val="32"/>
        </w:rPr>
        <w:t>：</w:t>
      </w:r>
    </w:p>
    <w:p w14:paraId="0055C58A"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（一）成立不满一年的；</w:t>
      </w:r>
    </w:p>
    <w:p w14:paraId="7587F228"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（二）过去一年存在行政处罚、经营异常名录、黑名单、股权冻结、税务非正常户、提供虚假材料、违反告知承诺制等任何不良信息的：</w:t>
      </w:r>
    </w:p>
    <w:p w14:paraId="7B61DD1E"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（三）上一次判定为中风险或高风险的。</w:t>
      </w:r>
    </w:p>
    <w:p w14:paraId="746CC866"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第十六条【E类</w:t>
      </w:r>
      <w:r>
        <w:rPr>
          <w:rFonts w:ascii="仿宋" w:eastAsia="仿宋" w:hAnsi="仿宋" w:hint="eastAsia"/>
          <w:sz w:val="32"/>
          <w:szCs w:val="32"/>
        </w:rPr>
        <w:t>企业</w:t>
      </w:r>
      <w:r w:rsidRPr="00B71D79">
        <w:rPr>
          <w:rFonts w:ascii="仿宋" w:eastAsia="仿宋" w:hAnsi="仿宋" w:hint="eastAsia"/>
          <w:sz w:val="32"/>
          <w:szCs w:val="32"/>
        </w:rPr>
        <w:t>判定情形】  有下列情形的之一，不考虑得分，直接判定为</w:t>
      </w:r>
      <w:r>
        <w:rPr>
          <w:rFonts w:ascii="仿宋" w:eastAsia="仿宋" w:hAnsi="仿宋" w:hint="eastAsia"/>
          <w:sz w:val="32"/>
          <w:szCs w:val="32"/>
        </w:rPr>
        <w:t>E类企业</w:t>
      </w:r>
      <w:r w:rsidRPr="00B71D79">
        <w:rPr>
          <w:rFonts w:ascii="仿宋" w:eastAsia="仿宋" w:hAnsi="仿宋" w:hint="eastAsia"/>
          <w:sz w:val="32"/>
          <w:szCs w:val="32"/>
        </w:rPr>
        <w:t>：</w:t>
      </w:r>
    </w:p>
    <w:p w14:paraId="0C50DEAE"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（一）</w:t>
      </w:r>
      <w:r w:rsidRPr="00B71D79">
        <w:rPr>
          <w:rFonts w:ascii="仿宋" w:eastAsia="仿宋" w:hAnsi="仿宋" w:hint="eastAsia"/>
          <w:sz w:val="32"/>
          <w:szCs w:val="32"/>
        </w:rPr>
        <w:tab/>
        <w:t>被列入行政机关和司法机关各类“黑名单”的；</w:t>
      </w:r>
    </w:p>
    <w:p w14:paraId="157B62CD"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（二）</w:t>
      </w:r>
      <w:r w:rsidRPr="00B71D79">
        <w:rPr>
          <w:rFonts w:ascii="仿宋" w:eastAsia="仿宋" w:hAnsi="仿宋" w:hint="eastAsia"/>
          <w:sz w:val="32"/>
          <w:szCs w:val="32"/>
        </w:rPr>
        <w:tab/>
        <w:t>被依法责令停产停业、吊销营业执照或许可证的；</w:t>
      </w:r>
    </w:p>
    <w:p w14:paraId="3989FEAE"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（三）</w:t>
      </w:r>
      <w:r w:rsidRPr="00B71D79">
        <w:rPr>
          <w:rFonts w:ascii="仿宋" w:eastAsia="仿宋" w:hAnsi="仿宋" w:hint="eastAsia"/>
          <w:sz w:val="32"/>
          <w:szCs w:val="32"/>
        </w:rPr>
        <w:tab/>
        <w:t>“互联网+监管”系统推送的E类企业或高风险企业。</w:t>
      </w:r>
    </w:p>
    <w:p w14:paraId="7DFC397E"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（四） 在近三年“双随机、一公开”抽查、专项检查、</w:t>
      </w:r>
      <w:r w:rsidRPr="00B71D79">
        <w:rPr>
          <w:rFonts w:ascii="仿宋" w:eastAsia="仿宋" w:hAnsi="仿宋" w:hint="eastAsia"/>
          <w:sz w:val="32"/>
          <w:szCs w:val="32"/>
        </w:rPr>
        <w:lastRenderedPageBreak/>
        <w:t>投诉举报核查、大数据监测、舆情监测等监管中，被发现存在法律法规和规章规定的严重失信行为的；</w:t>
      </w:r>
    </w:p>
    <w:p w14:paraId="50368046"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第十七条【特殊领域风险分类管理】</w:t>
      </w:r>
      <w:r>
        <w:rPr>
          <w:rFonts w:ascii="仿宋" w:eastAsia="仿宋" w:hAnsi="仿宋" w:hint="eastAsia"/>
          <w:sz w:val="32"/>
          <w:szCs w:val="32"/>
        </w:rPr>
        <w:t xml:space="preserve"> </w:t>
      </w:r>
      <w:r w:rsidRPr="00B71D79">
        <w:rPr>
          <w:rFonts w:ascii="仿宋" w:eastAsia="仿宋" w:hAnsi="仿宋" w:hint="eastAsia"/>
          <w:sz w:val="32"/>
          <w:szCs w:val="32"/>
        </w:rPr>
        <w:t>食品、工业产品、特种设备等特殊领域，省局相关业务处室可参考本办法，结合该领域监管实际，构建专项信用风险分类模型，制定市场监管特定领域和特定监管事项的信用风险分类管理办法。</w:t>
      </w:r>
    </w:p>
    <w:p w14:paraId="5ECDB6C1" w14:textId="77777777" w:rsidR="00C760A8" w:rsidRDefault="00877ADD" w:rsidP="00C760A8">
      <w:pPr>
        <w:ind w:firstLine="660"/>
        <w:jc w:val="left"/>
        <w:rPr>
          <w:rFonts w:ascii="仿宋" w:eastAsia="仿宋" w:hAnsi="仿宋"/>
          <w:sz w:val="32"/>
          <w:szCs w:val="32"/>
        </w:rPr>
      </w:pPr>
      <w:r w:rsidRPr="00B71D79">
        <w:rPr>
          <w:rFonts w:ascii="仿宋" w:eastAsia="仿宋" w:hAnsi="仿宋" w:hint="eastAsia"/>
          <w:sz w:val="32"/>
          <w:szCs w:val="32"/>
        </w:rPr>
        <w:t>第十八条【鼓励地方探索】 鼓励各市、县（市、区）市场监管部门结合本地产业结构，选定地方特色产业（行业），构建本地特色产业（行业）风险分类指标体系和管理办法，探索完善风险处置、跟踪和反馈机制，服务本地监管创新和政府决策。</w:t>
      </w:r>
      <w:r>
        <w:rPr>
          <w:rFonts w:ascii="仿宋" w:eastAsia="仿宋" w:hAnsi="仿宋" w:hint="eastAsia"/>
          <w:sz w:val="32"/>
          <w:szCs w:val="32"/>
        </w:rPr>
        <w:t xml:space="preserve">   </w:t>
      </w:r>
    </w:p>
    <w:p w14:paraId="55E3CDAD" w14:textId="4569BA38" w:rsidR="00877ADD" w:rsidRPr="00C760A8" w:rsidRDefault="00877ADD" w:rsidP="00C760A8">
      <w:pPr>
        <w:ind w:firstLine="660"/>
        <w:jc w:val="center"/>
        <w:rPr>
          <w:rFonts w:ascii="仿宋" w:eastAsia="仿宋" w:hAnsi="仿宋"/>
          <w:b/>
          <w:sz w:val="32"/>
          <w:szCs w:val="32"/>
        </w:rPr>
      </w:pPr>
      <w:r w:rsidRPr="00C760A8">
        <w:rPr>
          <w:rFonts w:ascii="仿宋" w:eastAsia="仿宋" w:hAnsi="仿宋" w:hint="eastAsia"/>
          <w:b/>
          <w:sz w:val="32"/>
          <w:szCs w:val="32"/>
        </w:rPr>
        <w:t>第三章  差异化监管措施</w:t>
      </w:r>
    </w:p>
    <w:p w14:paraId="1F56544B"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第十九条【分类监管】 各级市场监管部门要主动获取本行政区域内企业的信用风险分类结果，建立健全与企业信用风险分类相适应的监管机制，采取差异化监管措施，将“双随机、一公开”监管、重点监管等与企业信用风险分类结果有机结合，提升监管精准化和智能化水平。</w:t>
      </w:r>
    </w:p>
    <w:p w14:paraId="4DEC910B"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第二十条【A类企业监管措施】</w:t>
      </w:r>
      <w:r>
        <w:rPr>
          <w:rFonts w:ascii="仿宋" w:eastAsia="仿宋" w:hAnsi="仿宋" w:hint="eastAsia"/>
          <w:sz w:val="32"/>
          <w:szCs w:val="32"/>
        </w:rPr>
        <w:t xml:space="preserve"> </w:t>
      </w:r>
      <w:r w:rsidRPr="00B71D79">
        <w:rPr>
          <w:rFonts w:ascii="仿宋" w:eastAsia="仿宋" w:hAnsi="仿宋" w:hint="eastAsia"/>
          <w:sz w:val="32"/>
          <w:szCs w:val="32"/>
        </w:rPr>
        <w:t>可采取下列措施优化A类企业监管：</w:t>
      </w:r>
    </w:p>
    <w:p w14:paraId="07853DFF"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 xml:space="preserve">（一）企业全面自治为主，除投诉举报、大数据监测、案件线索转办交办外，不主动实施现场检查。 </w:t>
      </w:r>
    </w:p>
    <w:p w14:paraId="1DA821CD"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（二）大幅降低“双随机、一公开”抽查比例和频次，</w:t>
      </w:r>
    </w:p>
    <w:p w14:paraId="562577DC"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lastRenderedPageBreak/>
        <w:t>被随机抽中的，可采取书面检查、网络监测等非现场检查措施。</w:t>
      </w:r>
    </w:p>
    <w:p w14:paraId="76740A36"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 xml:space="preserve">（三）实施包容审慎监管，对在监管中发现未造成社会危害的轻微违法行为，加强行政指导，督促其改正，依法免予行政处罚。 </w:t>
      </w:r>
    </w:p>
    <w:p w14:paraId="5CB8AAE8"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第二十一条【B类企业监管措施】</w:t>
      </w:r>
      <w:r>
        <w:rPr>
          <w:rFonts w:ascii="仿宋" w:eastAsia="仿宋" w:hAnsi="仿宋" w:hint="eastAsia"/>
          <w:sz w:val="32"/>
          <w:szCs w:val="32"/>
        </w:rPr>
        <w:t xml:space="preserve"> </w:t>
      </w:r>
      <w:r w:rsidRPr="00B71D79">
        <w:rPr>
          <w:rFonts w:ascii="仿宋" w:eastAsia="仿宋" w:hAnsi="仿宋" w:hint="eastAsia"/>
          <w:sz w:val="32"/>
          <w:szCs w:val="32"/>
        </w:rPr>
        <w:t>可采取下列措施优化B类企业监管：</w:t>
      </w:r>
    </w:p>
    <w:p w14:paraId="338178B3"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（一）实行适度宽松的监管，简化监管方式和程序，适当降低监管频率，不定期开展大数据监测。</w:t>
      </w:r>
    </w:p>
    <w:p w14:paraId="09002C85"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（二）适当降低 “双随机、一公开”抽查比例和频次，被随机抽中的，可采取书面检查措施。</w:t>
      </w:r>
    </w:p>
    <w:p w14:paraId="66B89459"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（三）在监管中发现未造成社会危害的轻微违法行为，依法予以警告，并督促企业改正；逾期不改正的，降为C类企业，依法处罚。</w:t>
      </w:r>
    </w:p>
    <w:p w14:paraId="522016B6"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第二十二条【C类企业监管措施】</w:t>
      </w:r>
      <w:r>
        <w:rPr>
          <w:rFonts w:ascii="仿宋" w:eastAsia="仿宋" w:hAnsi="仿宋" w:hint="eastAsia"/>
          <w:sz w:val="32"/>
          <w:szCs w:val="32"/>
        </w:rPr>
        <w:t xml:space="preserve"> </w:t>
      </w:r>
      <w:r w:rsidRPr="00B71D79">
        <w:rPr>
          <w:rFonts w:ascii="仿宋" w:eastAsia="仿宋" w:hAnsi="仿宋" w:hint="eastAsia"/>
          <w:sz w:val="32"/>
          <w:szCs w:val="32"/>
        </w:rPr>
        <w:t>可采取下列措施对C类企业进行监管：</w:t>
      </w:r>
    </w:p>
    <w:p w14:paraId="3414320A" w14:textId="77777777" w:rsidR="00877ADD" w:rsidRPr="00B71D79" w:rsidRDefault="00877ADD" w:rsidP="00877ADD">
      <w:pPr>
        <w:ind w:firstLineChars="150" w:firstLine="480"/>
        <w:rPr>
          <w:rFonts w:ascii="仿宋" w:eastAsia="仿宋" w:hAnsi="仿宋"/>
          <w:sz w:val="32"/>
          <w:szCs w:val="32"/>
        </w:rPr>
      </w:pPr>
      <w:r w:rsidRPr="00B71D79">
        <w:rPr>
          <w:rFonts w:ascii="仿宋" w:eastAsia="仿宋" w:hAnsi="仿宋" w:hint="eastAsia"/>
          <w:sz w:val="32"/>
          <w:szCs w:val="32"/>
        </w:rPr>
        <w:t>（一）实行常规监管，保持正常监管频率，定期开展大数据监测。</w:t>
      </w:r>
    </w:p>
    <w:p w14:paraId="05D06F05" w14:textId="77777777" w:rsidR="00877ADD" w:rsidRPr="00B71D79" w:rsidRDefault="00877ADD" w:rsidP="00877ADD">
      <w:pPr>
        <w:ind w:firstLineChars="150" w:firstLine="480"/>
        <w:rPr>
          <w:rFonts w:ascii="仿宋" w:eastAsia="仿宋" w:hAnsi="仿宋"/>
          <w:sz w:val="32"/>
          <w:szCs w:val="32"/>
        </w:rPr>
      </w:pPr>
      <w:r w:rsidRPr="00B71D79">
        <w:rPr>
          <w:rFonts w:ascii="仿宋" w:eastAsia="仿宋" w:hAnsi="仿宋" w:hint="eastAsia"/>
          <w:sz w:val="32"/>
          <w:szCs w:val="32"/>
        </w:rPr>
        <w:t>（二）“双随机、一公开”监管，按正常比例和频次抽取，被随机抽中的，实行现场检查。</w:t>
      </w:r>
    </w:p>
    <w:p w14:paraId="283FCDF0" w14:textId="77777777" w:rsidR="00877ADD" w:rsidRPr="00B71D79" w:rsidRDefault="00877ADD" w:rsidP="00877ADD">
      <w:pPr>
        <w:ind w:firstLineChars="150" w:firstLine="480"/>
        <w:rPr>
          <w:rFonts w:ascii="仿宋" w:eastAsia="仿宋" w:hAnsi="仿宋"/>
          <w:sz w:val="32"/>
          <w:szCs w:val="32"/>
        </w:rPr>
      </w:pPr>
      <w:r w:rsidRPr="00B71D79">
        <w:rPr>
          <w:rFonts w:ascii="仿宋" w:eastAsia="仿宋" w:hAnsi="仿宋" w:hint="eastAsia"/>
          <w:sz w:val="32"/>
          <w:szCs w:val="32"/>
        </w:rPr>
        <w:t>（三）在监管中发现未造成社会危害的轻微违法行为，依法予以警告，督促企业改正，责令作出信用承诺；逾期不</w:t>
      </w:r>
      <w:r w:rsidRPr="00B71D79">
        <w:rPr>
          <w:rFonts w:ascii="仿宋" w:eastAsia="仿宋" w:hAnsi="仿宋" w:hint="eastAsia"/>
          <w:sz w:val="32"/>
          <w:szCs w:val="32"/>
        </w:rPr>
        <w:lastRenderedPageBreak/>
        <w:t>改正或违反信用承诺的，降为D类企业，依法处罚。</w:t>
      </w:r>
    </w:p>
    <w:p w14:paraId="32CC2FBA"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第二十三条【D类企业监管措施】</w:t>
      </w:r>
      <w:r>
        <w:rPr>
          <w:rFonts w:ascii="仿宋" w:eastAsia="仿宋" w:hAnsi="仿宋" w:hint="eastAsia"/>
          <w:sz w:val="32"/>
          <w:szCs w:val="32"/>
        </w:rPr>
        <w:t xml:space="preserve"> </w:t>
      </w:r>
      <w:r w:rsidRPr="00B71D79">
        <w:rPr>
          <w:rFonts w:ascii="仿宋" w:eastAsia="仿宋" w:hAnsi="仿宋" w:hint="eastAsia"/>
          <w:sz w:val="32"/>
          <w:szCs w:val="32"/>
        </w:rPr>
        <w:t>可采取下列措施强化D类企业监管：</w:t>
      </w:r>
    </w:p>
    <w:p w14:paraId="5E4FCD9B" w14:textId="77777777" w:rsidR="00877ADD" w:rsidRPr="00B71D79" w:rsidRDefault="00877ADD" w:rsidP="00877ADD">
      <w:pPr>
        <w:ind w:firstLineChars="150" w:firstLine="480"/>
        <w:rPr>
          <w:rFonts w:ascii="仿宋" w:eastAsia="仿宋" w:hAnsi="仿宋"/>
          <w:sz w:val="32"/>
          <w:szCs w:val="32"/>
        </w:rPr>
      </w:pPr>
      <w:r w:rsidRPr="00B71D79">
        <w:rPr>
          <w:rFonts w:ascii="仿宋" w:eastAsia="仿宋" w:hAnsi="仿宋" w:hint="eastAsia"/>
          <w:sz w:val="32"/>
          <w:szCs w:val="32"/>
        </w:rPr>
        <w:t>（一）实行重点监管，提高监管频率；列为重点监测对象，定期不定期开展大数据监测。</w:t>
      </w:r>
    </w:p>
    <w:p w14:paraId="368FA7C0" w14:textId="77777777" w:rsidR="00877ADD" w:rsidRPr="00B71D79" w:rsidRDefault="00877ADD" w:rsidP="00877ADD">
      <w:pPr>
        <w:ind w:firstLineChars="150" w:firstLine="480"/>
        <w:rPr>
          <w:rFonts w:ascii="仿宋" w:eastAsia="仿宋" w:hAnsi="仿宋"/>
          <w:sz w:val="32"/>
          <w:szCs w:val="32"/>
        </w:rPr>
      </w:pPr>
      <w:r w:rsidRPr="00B71D79">
        <w:rPr>
          <w:rFonts w:ascii="仿宋" w:eastAsia="仿宋" w:hAnsi="仿宋" w:hint="eastAsia"/>
          <w:sz w:val="32"/>
          <w:szCs w:val="32"/>
        </w:rPr>
        <w:t>（二）适当提高“双随机、一公开”抽查比例和频次，被随机抽中的，实行现场检查。</w:t>
      </w:r>
    </w:p>
    <w:p w14:paraId="40232E91" w14:textId="77777777" w:rsidR="00877ADD" w:rsidRPr="00B71D79" w:rsidRDefault="00877ADD" w:rsidP="00877ADD">
      <w:pPr>
        <w:ind w:firstLineChars="150" w:firstLine="480"/>
        <w:rPr>
          <w:rFonts w:ascii="仿宋" w:eastAsia="仿宋" w:hAnsi="仿宋"/>
          <w:sz w:val="32"/>
          <w:szCs w:val="32"/>
        </w:rPr>
      </w:pPr>
      <w:r w:rsidRPr="00B71D79">
        <w:rPr>
          <w:rFonts w:ascii="仿宋" w:eastAsia="仿宋" w:hAnsi="仿宋" w:hint="eastAsia"/>
          <w:sz w:val="32"/>
          <w:szCs w:val="32"/>
        </w:rPr>
        <w:t>（三）开展专项整治时列入重点关注对象，对监管中发现的违法违规行为，依法处罚。</w:t>
      </w:r>
    </w:p>
    <w:p w14:paraId="20BE44E6" w14:textId="77777777" w:rsidR="00877ADD" w:rsidRPr="00B71D79" w:rsidRDefault="00877ADD" w:rsidP="00877ADD">
      <w:pPr>
        <w:ind w:firstLineChars="150" w:firstLine="480"/>
        <w:rPr>
          <w:rFonts w:ascii="仿宋" w:eastAsia="仿宋" w:hAnsi="仿宋"/>
          <w:sz w:val="32"/>
          <w:szCs w:val="32"/>
        </w:rPr>
      </w:pPr>
      <w:r w:rsidRPr="00B71D79">
        <w:rPr>
          <w:rFonts w:ascii="仿宋" w:eastAsia="仿宋" w:hAnsi="仿宋" w:hint="eastAsia"/>
          <w:sz w:val="32"/>
          <w:szCs w:val="32"/>
        </w:rPr>
        <w:t>（四）在办理行政许可时，依法不适用告知承诺制。</w:t>
      </w:r>
    </w:p>
    <w:p w14:paraId="3E65E553"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第二十四条【E类企业监管措施】</w:t>
      </w:r>
      <w:r>
        <w:rPr>
          <w:rFonts w:ascii="仿宋" w:eastAsia="仿宋" w:hAnsi="仿宋" w:hint="eastAsia"/>
          <w:sz w:val="32"/>
          <w:szCs w:val="32"/>
        </w:rPr>
        <w:t xml:space="preserve"> </w:t>
      </w:r>
      <w:r w:rsidRPr="00B71D79">
        <w:rPr>
          <w:rFonts w:ascii="仿宋" w:eastAsia="仿宋" w:hAnsi="仿宋" w:hint="eastAsia"/>
          <w:sz w:val="32"/>
          <w:szCs w:val="32"/>
        </w:rPr>
        <w:t>可采取下列措施强化E类企业严管：</w:t>
      </w:r>
    </w:p>
    <w:p w14:paraId="661B7CB6"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（一）实行严管重罚，大幅提高监管频率；列为重点监测对象，定期不定期开展大数据监测，增加监测次数。</w:t>
      </w:r>
    </w:p>
    <w:p w14:paraId="478C50F8"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（二）大幅度提高“双随机、一公开”抽查比例和频次，被随机抽中的，严格实行现场检查等全方位检查。</w:t>
      </w:r>
    </w:p>
    <w:p w14:paraId="6D0B27C9"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（三）开展专项整治时列为重点清理对象，对监管中发现存在违法违规行为的，依法从重处罚。</w:t>
      </w:r>
    </w:p>
    <w:p w14:paraId="60024739"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（四）在办理登记注册、行政许可、知识产权等工作中依法予以限制或禁入。</w:t>
      </w:r>
    </w:p>
    <w:p w14:paraId="527343A0" w14:textId="77777777" w:rsidR="00877ADD" w:rsidRPr="00C760A8" w:rsidRDefault="00877ADD" w:rsidP="00877ADD">
      <w:pPr>
        <w:jc w:val="center"/>
        <w:rPr>
          <w:rFonts w:ascii="仿宋" w:eastAsia="仿宋" w:hAnsi="仿宋"/>
          <w:b/>
          <w:sz w:val="32"/>
          <w:szCs w:val="32"/>
        </w:rPr>
      </w:pPr>
      <w:r w:rsidRPr="00C760A8">
        <w:rPr>
          <w:rFonts w:ascii="仿宋" w:eastAsia="仿宋" w:hAnsi="仿宋" w:hint="eastAsia"/>
          <w:b/>
          <w:sz w:val="32"/>
          <w:szCs w:val="32"/>
        </w:rPr>
        <w:t>第四章  信用风险分类管理联动</w:t>
      </w:r>
    </w:p>
    <w:p w14:paraId="2AF63CE0"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第二十五条【结果应用】</w:t>
      </w:r>
      <w:r>
        <w:rPr>
          <w:rFonts w:ascii="仿宋" w:eastAsia="仿宋" w:hAnsi="仿宋" w:hint="eastAsia"/>
          <w:sz w:val="32"/>
          <w:szCs w:val="32"/>
        </w:rPr>
        <w:t xml:space="preserve"> </w:t>
      </w:r>
      <w:r w:rsidRPr="00B71D79">
        <w:rPr>
          <w:rFonts w:ascii="仿宋" w:eastAsia="仿宋" w:hAnsi="仿宋" w:hint="eastAsia"/>
          <w:sz w:val="32"/>
          <w:szCs w:val="32"/>
        </w:rPr>
        <w:t>推动企业信用风险分类管理</w:t>
      </w:r>
      <w:r w:rsidRPr="00B71D79">
        <w:rPr>
          <w:rFonts w:ascii="仿宋" w:eastAsia="仿宋" w:hAnsi="仿宋" w:hint="eastAsia"/>
          <w:sz w:val="32"/>
          <w:szCs w:val="32"/>
        </w:rPr>
        <w:lastRenderedPageBreak/>
        <w:t>与“互联网+监管”、大数据分析联动，加强对企业信用信息和信用风险分类结果的分析应用，强化对中高风险企业和高风险企业的分析预警，提高信用监管针对性。</w:t>
      </w:r>
    </w:p>
    <w:p w14:paraId="438A187E"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第二十六条【风险监测和分析预警】</w:t>
      </w:r>
      <w:r>
        <w:rPr>
          <w:rFonts w:ascii="仿宋" w:eastAsia="仿宋" w:hAnsi="仿宋" w:hint="eastAsia"/>
          <w:sz w:val="32"/>
          <w:szCs w:val="32"/>
        </w:rPr>
        <w:t xml:space="preserve"> </w:t>
      </w:r>
      <w:r w:rsidRPr="00B71D79">
        <w:rPr>
          <w:rFonts w:ascii="仿宋" w:eastAsia="仿宋" w:hAnsi="仿宋" w:hint="eastAsia"/>
          <w:sz w:val="32"/>
          <w:szCs w:val="32"/>
        </w:rPr>
        <w:t>依据企业信用风险分类状况与企业违法违规风险之间的正相关原理，实行企业信用风险分类管理与企业违法违规风险分析联动，加强企业违法违规的风险监测、分析预警、风险处置和跟踪反馈工作，提升信用监管科学性。</w:t>
      </w:r>
    </w:p>
    <w:p w14:paraId="23DA7FAE"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第二十七条【发挥第三方作用】</w:t>
      </w:r>
      <w:r>
        <w:rPr>
          <w:rFonts w:ascii="仿宋" w:eastAsia="仿宋" w:hAnsi="仿宋" w:hint="eastAsia"/>
          <w:sz w:val="32"/>
          <w:szCs w:val="32"/>
        </w:rPr>
        <w:t xml:space="preserve"> </w:t>
      </w:r>
      <w:r w:rsidRPr="00B71D79">
        <w:rPr>
          <w:rFonts w:ascii="仿宋" w:eastAsia="仿宋" w:hAnsi="仿宋" w:hint="eastAsia"/>
          <w:sz w:val="32"/>
          <w:szCs w:val="32"/>
        </w:rPr>
        <w:t>重视发挥行业协会、社会团体、新闻媒体、互联网平台、有资质的信用服务机构等第三方机构和信用管理领域专家学者的作用，支持鼓励其参与企业信用风险分类管理，推进社会共治。</w:t>
      </w:r>
    </w:p>
    <w:p w14:paraId="1060EAE4" w14:textId="77777777" w:rsidR="00877ADD" w:rsidRPr="00C760A8" w:rsidRDefault="00877ADD" w:rsidP="00877ADD">
      <w:pPr>
        <w:jc w:val="center"/>
        <w:rPr>
          <w:rFonts w:ascii="仿宋" w:eastAsia="仿宋" w:hAnsi="仿宋"/>
          <w:b/>
          <w:sz w:val="32"/>
          <w:szCs w:val="32"/>
        </w:rPr>
      </w:pPr>
      <w:r w:rsidRPr="00C760A8">
        <w:rPr>
          <w:rFonts w:ascii="仿宋" w:eastAsia="仿宋" w:hAnsi="仿宋" w:hint="eastAsia"/>
          <w:b/>
          <w:sz w:val="32"/>
          <w:szCs w:val="32"/>
        </w:rPr>
        <w:t>第五章  责任追究</w:t>
      </w:r>
    </w:p>
    <w:p w14:paraId="711FD48A"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第二十八条【工作人员责任追究】</w:t>
      </w:r>
      <w:r>
        <w:rPr>
          <w:rFonts w:ascii="仿宋" w:eastAsia="仿宋" w:hAnsi="仿宋" w:hint="eastAsia"/>
          <w:sz w:val="32"/>
          <w:szCs w:val="32"/>
        </w:rPr>
        <w:t xml:space="preserve"> </w:t>
      </w:r>
      <w:r w:rsidRPr="00B71D79">
        <w:rPr>
          <w:rFonts w:ascii="仿宋" w:eastAsia="仿宋" w:hAnsi="仿宋" w:hint="eastAsia"/>
          <w:sz w:val="32"/>
          <w:szCs w:val="32"/>
        </w:rPr>
        <w:t>市场监管部门及其工作人员，在信用风险分类管理过程中，利用工作之便篡改、虚构、删除、泄露相关信息，情节严重或造成不良后果的，依法追究相关责任。</w:t>
      </w:r>
    </w:p>
    <w:p w14:paraId="6D29964F"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第二十九条【其他责任追究】</w:t>
      </w:r>
      <w:r>
        <w:rPr>
          <w:rFonts w:ascii="仿宋" w:eastAsia="仿宋" w:hAnsi="仿宋" w:hint="eastAsia"/>
          <w:sz w:val="32"/>
          <w:szCs w:val="32"/>
        </w:rPr>
        <w:t xml:space="preserve"> </w:t>
      </w:r>
      <w:r w:rsidRPr="00B71D79">
        <w:rPr>
          <w:rFonts w:ascii="仿宋" w:eastAsia="仿宋" w:hAnsi="仿宋" w:hint="eastAsia"/>
          <w:sz w:val="32"/>
          <w:szCs w:val="32"/>
        </w:rPr>
        <w:t>公民、法人或其他组织以营利为目的非法批量获取企业信用风险分类管理数据，对企业信用风险分类管理信息化系统运行产生不良影响的，或非法篡改、虚构、删除、泄露相关信息的，依法追究相关责任。</w:t>
      </w:r>
    </w:p>
    <w:p w14:paraId="6F784F5B" w14:textId="77777777" w:rsidR="00877ADD" w:rsidRPr="00C760A8" w:rsidRDefault="00877ADD" w:rsidP="00877ADD">
      <w:pPr>
        <w:jc w:val="center"/>
        <w:rPr>
          <w:rFonts w:ascii="仿宋" w:eastAsia="仿宋" w:hAnsi="仿宋"/>
          <w:b/>
          <w:sz w:val="32"/>
          <w:szCs w:val="32"/>
        </w:rPr>
      </w:pPr>
      <w:r w:rsidRPr="00C760A8">
        <w:rPr>
          <w:rFonts w:ascii="仿宋" w:eastAsia="仿宋" w:hAnsi="仿宋" w:hint="eastAsia"/>
          <w:b/>
          <w:sz w:val="32"/>
          <w:szCs w:val="32"/>
        </w:rPr>
        <w:lastRenderedPageBreak/>
        <w:t>第六章  附  则</w:t>
      </w:r>
    </w:p>
    <w:p w14:paraId="75893D3B"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第三十条【解释】</w:t>
      </w:r>
      <w:r>
        <w:rPr>
          <w:rFonts w:ascii="仿宋" w:eastAsia="仿宋" w:hAnsi="仿宋" w:hint="eastAsia"/>
          <w:sz w:val="32"/>
          <w:szCs w:val="32"/>
        </w:rPr>
        <w:t xml:space="preserve"> </w:t>
      </w:r>
      <w:r w:rsidRPr="00B71D79">
        <w:rPr>
          <w:rFonts w:ascii="仿宋" w:eastAsia="仿宋" w:hAnsi="仿宋" w:hint="eastAsia"/>
          <w:sz w:val="32"/>
          <w:szCs w:val="32"/>
        </w:rPr>
        <w:t>本办法由山东省市场监督管理局负责解释。</w:t>
      </w:r>
    </w:p>
    <w:p w14:paraId="2CFF0548" w14:textId="77777777" w:rsidR="00877ADD" w:rsidRPr="00B71D79" w:rsidRDefault="00877ADD" w:rsidP="00877ADD">
      <w:pPr>
        <w:ind w:firstLine="660"/>
        <w:rPr>
          <w:rFonts w:ascii="仿宋" w:eastAsia="仿宋" w:hAnsi="仿宋"/>
          <w:sz w:val="32"/>
          <w:szCs w:val="32"/>
        </w:rPr>
      </w:pPr>
      <w:r w:rsidRPr="00B71D79">
        <w:rPr>
          <w:rFonts w:ascii="仿宋" w:eastAsia="仿宋" w:hAnsi="仿宋" w:hint="eastAsia"/>
          <w:sz w:val="32"/>
          <w:szCs w:val="32"/>
        </w:rPr>
        <w:t>第三十一条【生效日期】</w:t>
      </w:r>
      <w:r>
        <w:rPr>
          <w:rFonts w:ascii="仿宋" w:eastAsia="仿宋" w:hAnsi="仿宋" w:hint="eastAsia"/>
          <w:sz w:val="32"/>
          <w:szCs w:val="32"/>
        </w:rPr>
        <w:t xml:space="preserve"> </w:t>
      </w:r>
      <w:r w:rsidRPr="00B71D79">
        <w:rPr>
          <w:rFonts w:ascii="仿宋" w:eastAsia="仿宋" w:hAnsi="仿宋" w:hint="eastAsia"/>
          <w:sz w:val="32"/>
          <w:szCs w:val="32"/>
        </w:rPr>
        <w:t>本办法自2020年</w:t>
      </w:r>
      <w:r>
        <w:rPr>
          <w:rFonts w:ascii="仿宋" w:eastAsia="仿宋" w:hAnsi="仿宋"/>
          <w:sz w:val="32"/>
          <w:szCs w:val="32"/>
        </w:rPr>
        <w:t>1</w:t>
      </w:r>
      <w:r w:rsidRPr="00B71D79">
        <w:rPr>
          <w:rFonts w:ascii="仿宋" w:eastAsia="仿宋" w:hAnsi="仿宋" w:hint="eastAsia"/>
          <w:sz w:val="32"/>
          <w:szCs w:val="32"/>
        </w:rPr>
        <w:t>月</w:t>
      </w:r>
      <w:r>
        <w:rPr>
          <w:rFonts w:ascii="仿宋" w:eastAsia="仿宋" w:hAnsi="仿宋" w:hint="eastAsia"/>
          <w:sz w:val="32"/>
          <w:szCs w:val="32"/>
        </w:rPr>
        <w:t>1</w:t>
      </w:r>
      <w:r>
        <w:rPr>
          <w:rFonts w:ascii="仿宋" w:eastAsia="仿宋" w:hAnsi="仿宋"/>
          <w:sz w:val="32"/>
          <w:szCs w:val="32"/>
        </w:rPr>
        <w:t xml:space="preserve"> </w:t>
      </w:r>
      <w:r w:rsidRPr="00B71D79">
        <w:rPr>
          <w:rFonts w:ascii="仿宋" w:eastAsia="仿宋" w:hAnsi="仿宋" w:hint="eastAsia"/>
          <w:sz w:val="32"/>
          <w:szCs w:val="32"/>
        </w:rPr>
        <w:t>日起实施</w:t>
      </w:r>
      <w:r>
        <w:rPr>
          <w:rFonts w:ascii="仿宋" w:eastAsia="仿宋" w:hAnsi="仿宋" w:hint="eastAsia"/>
          <w:sz w:val="32"/>
          <w:szCs w:val="32"/>
        </w:rPr>
        <w:t>，</w:t>
      </w:r>
      <w:r>
        <w:rPr>
          <w:rFonts w:ascii="仿宋" w:eastAsia="仿宋" w:hAnsi="仿宋"/>
          <w:sz w:val="32"/>
          <w:szCs w:val="32"/>
        </w:rPr>
        <w:t>有效期至2021</w:t>
      </w:r>
      <w:r>
        <w:rPr>
          <w:rFonts w:ascii="仿宋" w:eastAsia="仿宋" w:hAnsi="仿宋" w:hint="eastAsia"/>
          <w:sz w:val="32"/>
          <w:szCs w:val="32"/>
        </w:rPr>
        <w:t>年</w:t>
      </w:r>
      <w:r>
        <w:rPr>
          <w:rFonts w:ascii="仿宋" w:eastAsia="仿宋" w:hAnsi="仿宋"/>
          <w:sz w:val="32"/>
          <w:szCs w:val="32"/>
        </w:rPr>
        <w:t>12</w:t>
      </w:r>
      <w:r>
        <w:rPr>
          <w:rFonts w:ascii="仿宋" w:eastAsia="仿宋" w:hAnsi="仿宋" w:hint="eastAsia"/>
          <w:sz w:val="32"/>
          <w:szCs w:val="32"/>
        </w:rPr>
        <w:t>月3</w:t>
      </w:r>
      <w:r>
        <w:rPr>
          <w:rFonts w:ascii="仿宋" w:eastAsia="仿宋" w:hAnsi="仿宋"/>
          <w:sz w:val="32"/>
          <w:szCs w:val="32"/>
        </w:rPr>
        <w:t>1</w:t>
      </w:r>
      <w:r>
        <w:rPr>
          <w:rFonts w:ascii="仿宋" w:eastAsia="仿宋" w:hAnsi="仿宋" w:hint="eastAsia"/>
          <w:sz w:val="32"/>
          <w:szCs w:val="32"/>
        </w:rPr>
        <w:t>日</w:t>
      </w:r>
      <w:r w:rsidRPr="00B71D79">
        <w:rPr>
          <w:rFonts w:ascii="仿宋" w:eastAsia="仿宋" w:hAnsi="仿宋" w:hint="eastAsia"/>
          <w:sz w:val="32"/>
          <w:szCs w:val="32"/>
        </w:rPr>
        <w:t>。</w:t>
      </w:r>
    </w:p>
    <w:p w14:paraId="4E7A76F1" w14:textId="77777777" w:rsidR="00877ADD" w:rsidRPr="00B71D79" w:rsidRDefault="00877ADD" w:rsidP="00877ADD">
      <w:pPr>
        <w:ind w:firstLine="660"/>
        <w:rPr>
          <w:rFonts w:ascii="仿宋" w:eastAsia="仿宋" w:hAnsi="仿宋"/>
          <w:sz w:val="32"/>
          <w:szCs w:val="32"/>
        </w:rPr>
      </w:pPr>
      <w:r w:rsidRPr="00B71D79">
        <w:rPr>
          <w:rFonts w:ascii="仿宋" w:eastAsia="仿宋" w:hAnsi="仿宋"/>
          <w:sz w:val="32"/>
          <w:szCs w:val="32"/>
        </w:rPr>
        <w:t xml:space="preserve">    </w:t>
      </w:r>
    </w:p>
    <w:p w14:paraId="23FFC14F" w14:textId="5AD1BAC4" w:rsidR="00F811E8" w:rsidRPr="00877ADD" w:rsidRDefault="00F811E8" w:rsidP="00877ADD">
      <w:pPr>
        <w:spacing w:beforeLines="150" w:before="468" w:line="580" w:lineRule="exact"/>
        <w:jc w:val="center"/>
        <w:rPr>
          <w:rFonts w:ascii="仿宋_GB2312" w:eastAsia="仿宋_GB2312" w:hAnsi="仿宋"/>
          <w:sz w:val="32"/>
          <w:szCs w:val="32"/>
        </w:rPr>
      </w:pPr>
    </w:p>
    <w:sectPr w:rsidR="00F811E8" w:rsidRPr="00877AD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8866A" w14:textId="77777777" w:rsidR="00146785" w:rsidRDefault="00146785" w:rsidP="0089486D">
      <w:r>
        <w:separator/>
      </w:r>
    </w:p>
  </w:endnote>
  <w:endnote w:type="continuationSeparator" w:id="0">
    <w:p w14:paraId="3BD95B43" w14:textId="77777777" w:rsidR="00146785" w:rsidRDefault="00146785" w:rsidP="0089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602511"/>
      <w:docPartObj>
        <w:docPartGallery w:val="Page Numbers (Bottom of Page)"/>
        <w:docPartUnique/>
      </w:docPartObj>
    </w:sdtPr>
    <w:sdtEndPr>
      <w:rPr>
        <w:rFonts w:ascii="宋体" w:eastAsia="宋体" w:hAnsi="宋体"/>
        <w:sz w:val="28"/>
        <w:szCs w:val="28"/>
      </w:rPr>
    </w:sdtEndPr>
    <w:sdtContent>
      <w:p w14:paraId="4BD72FED" w14:textId="77777777" w:rsidR="005A4AD5" w:rsidRPr="00147402" w:rsidRDefault="00147402">
        <w:pPr>
          <w:pStyle w:val="a4"/>
          <w:jc w:val="center"/>
          <w:rPr>
            <w:rFonts w:ascii="宋体" w:eastAsia="宋体" w:hAnsi="宋体"/>
            <w:sz w:val="28"/>
            <w:szCs w:val="28"/>
          </w:rPr>
        </w:pPr>
        <w:r w:rsidRPr="00147402">
          <w:rPr>
            <w:rFonts w:ascii="宋体" w:eastAsia="宋体" w:hAnsi="宋体" w:hint="eastAsia"/>
            <w:sz w:val="28"/>
            <w:szCs w:val="28"/>
          </w:rPr>
          <w:t>-</w:t>
        </w:r>
        <w:r w:rsidR="005A4AD5" w:rsidRPr="00147402">
          <w:rPr>
            <w:rFonts w:ascii="宋体" w:eastAsia="宋体" w:hAnsi="宋体"/>
            <w:sz w:val="28"/>
            <w:szCs w:val="28"/>
          </w:rPr>
          <w:fldChar w:fldCharType="begin"/>
        </w:r>
        <w:r w:rsidR="005A4AD5" w:rsidRPr="00147402">
          <w:rPr>
            <w:rFonts w:ascii="宋体" w:eastAsia="宋体" w:hAnsi="宋体"/>
            <w:sz w:val="28"/>
            <w:szCs w:val="28"/>
          </w:rPr>
          <w:instrText>PAGE   \* MERGEFORMAT</w:instrText>
        </w:r>
        <w:r w:rsidR="005A4AD5" w:rsidRPr="00147402">
          <w:rPr>
            <w:rFonts w:ascii="宋体" w:eastAsia="宋体" w:hAnsi="宋体"/>
            <w:sz w:val="28"/>
            <w:szCs w:val="28"/>
          </w:rPr>
          <w:fldChar w:fldCharType="separate"/>
        </w:r>
        <w:r w:rsidR="007433D0" w:rsidRPr="007433D0">
          <w:rPr>
            <w:rFonts w:ascii="宋体" w:eastAsia="宋体" w:hAnsi="宋体"/>
            <w:noProof/>
            <w:sz w:val="28"/>
            <w:szCs w:val="28"/>
            <w:lang w:val="zh-CN"/>
          </w:rPr>
          <w:t>1</w:t>
        </w:r>
        <w:r w:rsidR="005A4AD5" w:rsidRPr="00147402">
          <w:rPr>
            <w:rFonts w:ascii="宋体" w:eastAsia="宋体" w:hAnsi="宋体"/>
            <w:sz w:val="28"/>
            <w:szCs w:val="28"/>
          </w:rPr>
          <w:fldChar w:fldCharType="end"/>
        </w:r>
        <w:r w:rsidRPr="00147402">
          <w:rPr>
            <w:rFonts w:ascii="宋体" w:eastAsia="宋体" w:hAnsi="宋体" w:hint="eastAsia"/>
            <w:sz w:val="28"/>
            <w:szCs w:val="28"/>
          </w:rPr>
          <w:t>-</w:t>
        </w:r>
      </w:p>
    </w:sdtContent>
  </w:sdt>
  <w:p w14:paraId="19566CF8" w14:textId="77777777" w:rsidR="005A4AD5" w:rsidRDefault="005A4A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C00F1" w14:textId="77777777" w:rsidR="00146785" w:rsidRDefault="00146785" w:rsidP="0089486D">
      <w:r>
        <w:separator/>
      </w:r>
    </w:p>
  </w:footnote>
  <w:footnote w:type="continuationSeparator" w:id="0">
    <w:p w14:paraId="09BBCF78" w14:textId="77777777" w:rsidR="00146785" w:rsidRDefault="00146785" w:rsidP="00894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6725"/>
    <w:multiLevelType w:val="hybridMultilevel"/>
    <w:tmpl w:val="0B9A615A"/>
    <w:lvl w:ilvl="0" w:tplc="38F46D0A">
      <w:start w:val="1"/>
      <w:numFmt w:val="japaneseCounting"/>
      <w:lvlText w:val="（%1）"/>
      <w:lvlJc w:val="left"/>
      <w:pPr>
        <w:ind w:left="1725" w:hanging="1080"/>
      </w:pPr>
      <w:rPr>
        <w:rFonts w:hint="default"/>
        <w:color w:val="auto"/>
        <w:lang w:val="en-US"/>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0DF05F4A"/>
    <w:multiLevelType w:val="hybridMultilevel"/>
    <w:tmpl w:val="0562BEEA"/>
    <w:lvl w:ilvl="0" w:tplc="A38EF980">
      <w:start w:val="1"/>
      <w:numFmt w:val="japaneseCounting"/>
      <w:lvlText w:val="（%1）"/>
      <w:lvlJc w:val="left"/>
      <w:pPr>
        <w:ind w:left="1725" w:hanging="1080"/>
      </w:pPr>
      <w:rPr>
        <w:rFonts w:hint="default"/>
        <w:lang w:val="en-US"/>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6C1A5CFC"/>
    <w:multiLevelType w:val="hybridMultilevel"/>
    <w:tmpl w:val="CC3A7C60"/>
    <w:lvl w:ilvl="0" w:tplc="B13CCC80">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14"/>
    <w:rsid w:val="00001F2E"/>
    <w:rsid w:val="0000477F"/>
    <w:rsid w:val="00031D89"/>
    <w:rsid w:val="00041ED5"/>
    <w:rsid w:val="00047836"/>
    <w:rsid w:val="00052EBD"/>
    <w:rsid w:val="00057BCC"/>
    <w:rsid w:val="00076A0C"/>
    <w:rsid w:val="000933A1"/>
    <w:rsid w:val="00094CE8"/>
    <w:rsid w:val="000B4999"/>
    <w:rsid w:val="000C7BB6"/>
    <w:rsid w:val="000E164A"/>
    <w:rsid w:val="000F3109"/>
    <w:rsid w:val="0010581A"/>
    <w:rsid w:val="0012634A"/>
    <w:rsid w:val="00146785"/>
    <w:rsid w:val="00147402"/>
    <w:rsid w:val="00161435"/>
    <w:rsid w:val="001833C6"/>
    <w:rsid w:val="0019578A"/>
    <w:rsid w:val="001A6296"/>
    <w:rsid w:val="001B16A1"/>
    <w:rsid w:val="001E72A3"/>
    <w:rsid w:val="0020459C"/>
    <w:rsid w:val="00212140"/>
    <w:rsid w:val="0021780D"/>
    <w:rsid w:val="00220700"/>
    <w:rsid w:val="00236A79"/>
    <w:rsid w:val="00253396"/>
    <w:rsid w:val="00253A91"/>
    <w:rsid w:val="00281531"/>
    <w:rsid w:val="00285662"/>
    <w:rsid w:val="002D7E70"/>
    <w:rsid w:val="00315103"/>
    <w:rsid w:val="00315459"/>
    <w:rsid w:val="003351B9"/>
    <w:rsid w:val="00345FB9"/>
    <w:rsid w:val="003648E3"/>
    <w:rsid w:val="00377C4C"/>
    <w:rsid w:val="0038140D"/>
    <w:rsid w:val="00391B9C"/>
    <w:rsid w:val="003B3685"/>
    <w:rsid w:val="003B60E3"/>
    <w:rsid w:val="004412C2"/>
    <w:rsid w:val="00456878"/>
    <w:rsid w:val="0047355B"/>
    <w:rsid w:val="004771BF"/>
    <w:rsid w:val="00487BD7"/>
    <w:rsid w:val="00496355"/>
    <w:rsid w:val="004B53C5"/>
    <w:rsid w:val="004E368F"/>
    <w:rsid w:val="004F7E97"/>
    <w:rsid w:val="00507455"/>
    <w:rsid w:val="00531465"/>
    <w:rsid w:val="005473FC"/>
    <w:rsid w:val="00562945"/>
    <w:rsid w:val="00575018"/>
    <w:rsid w:val="00586075"/>
    <w:rsid w:val="005A4AD5"/>
    <w:rsid w:val="005A59B1"/>
    <w:rsid w:val="005C1BC6"/>
    <w:rsid w:val="005C3ECE"/>
    <w:rsid w:val="005C6A8E"/>
    <w:rsid w:val="005E5F76"/>
    <w:rsid w:val="00600166"/>
    <w:rsid w:val="00611481"/>
    <w:rsid w:val="00611B6B"/>
    <w:rsid w:val="00615D4F"/>
    <w:rsid w:val="00626273"/>
    <w:rsid w:val="00684550"/>
    <w:rsid w:val="006A03EF"/>
    <w:rsid w:val="006A1903"/>
    <w:rsid w:val="006A4815"/>
    <w:rsid w:val="006B490D"/>
    <w:rsid w:val="006C09BC"/>
    <w:rsid w:val="006C1BF5"/>
    <w:rsid w:val="006E088B"/>
    <w:rsid w:val="006F4BB7"/>
    <w:rsid w:val="007044E7"/>
    <w:rsid w:val="007065C5"/>
    <w:rsid w:val="00737A63"/>
    <w:rsid w:val="007433D0"/>
    <w:rsid w:val="007733AA"/>
    <w:rsid w:val="00794672"/>
    <w:rsid w:val="007A1915"/>
    <w:rsid w:val="007A7878"/>
    <w:rsid w:val="007B1D19"/>
    <w:rsid w:val="007B6755"/>
    <w:rsid w:val="007C32A7"/>
    <w:rsid w:val="008016D7"/>
    <w:rsid w:val="0080551D"/>
    <w:rsid w:val="008257DD"/>
    <w:rsid w:val="008268CE"/>
    <w:rsid w:val="00827514"/>
    <w:rsid w:val="00877ADD"/>
    <w:rsid w:val="00892F5C"/>
    <w:rsid w:val="0089486D"/>
    <w:rsid w:val="008C1225"/>
    <w:rsid w:val="008C189F"/>
    <w:rsid w:val="008D4EDC"/>
    <w:rsid w:val="008D5FD8"/>
    <w:rsid w:val="008E3BF1"/>
    <w:rsid w:val="008E5CAA"/>
    <w:rsid w:val="008E6D10"/>
    <w:rsid w:val="00916F1C"/>
    <w:rsid w:val="0093422B"/>
    <w:rsid w:val="00935830"/>
    <w:rsid w:val="0094065B"/>
    <w:rsid w:val="00941146"/>
    <w:rsid w:val="00952401"/>
    <w:rsid w:val="009A5592"/>
    <w:rsid w:val="009D5089"/>
    <w:rsid w:val="009F25DD"/>
    <w:rsid w:val="00A10284"/>
    <w:rsid w:val="00A10E91"/>
    <w:rsid w:val="00A20D9D"/>
    <w:rsid w:val="00A27F50"/>
    <w:rsid w:val="00A321E6"/>
    <w:rsid w:val="00A32576"/>
    <w:rsid w:val="00A372C4"/>
    <w:rsid w:val="00A530D6"/>
    <w:rsid w:val="00A65AD8"/>
    <w:rsid w:val="00A70A46"/>
    <w:rsid w:val="00A93DAE"/>
    <w:rsid w:val="00AA42AF"/>
    <w:rsid w:val="00AA671F"/>
    <w:rsid w:val="00AB2AB7"/>
    <w:rsid w:val="00AC20B3"/>
    <w:rsid w:val="00AC473F"/>
    <w:rsid w:val="00AD776F"/>
    <w:rsid w:val="00B07641"/>
    <w:rsid w:val="00B118B7"/>
    <w:rsid w:val="00B1476A"/>
    <w:rsid w:val="00B215BE"/>
    <w:rsid w:val="00B26040"/>
    <w:rsid w:val="00B63F17"/>
    <w:rsid w:val="00B67612"/>
    <w:rsid w:val="00B808A8"/>
    <w:rsid w:val="00BA2346"/>
    <w:rsid w:val="00BA656C"/>
    <w:rsid w:val="00BC251B"/>
    <w:rsid w:val="00BC446A"/>
    <w:rsid w:val="00BC732A"/>
    <w:rsid w:val="00BF10AA"/>
    <w:rsid w:val="00C0343D"/>
    <w:rsid w:val="00C43315"/>
    <w:rsid w:val="00C459EA"/>
    <w:rsid w:val="00C5362E"/>
    <w:rsid w:val="00C760A8"/>
    <w:rsid w:val="00C91864"/>
    <w:rsid w:val="00C933A8"/>
    <w:rsid w:val="00CC20F1"/>
    <w:rsid w:val="00CC673D"/>
    <w:rsid w:val="00CD6611"/>
    <w:rsid w:val="00CE5716"/>
    <w:rsid w:val="00CF3DE4"/>
    <w:rsid w:val="00D03016"/>
    <w:rsid w:val="00D21D11"/>
    <w:rsid w:val="00D57527"/>
    <w:rsid w:val="00D57D97"/>
    <w:rsid w:val="00D62BB9"/>
    <w:rsid w:val="00D63792"/>
    <w:rsid w:val="00D642AF"/>
    <w:rsid w:val="00D806C1"/>
    <w:rsid w:val="00D968BE"/>
    <w:rsid w:val="00D96F27"/>
    <w:rsid w:val="00DB4A14"/>
    <w:rsid w:val="00DB7DC6"/>
    <w:rsid w:val="00DE6F7A"/>
    <w:rsid w:val="00DF1959"/>
    <w:rsid w:val="00E03CB8"/>
    <w:rsid w:val="00E168F8"/>
    <w:rsid w:val="00E24C7B"/>
    <w:rsid w:val="00E3161B"/>
    <w:rsid w:val="00E33683"/>
    <w:rsid w:val="00E435D6"/>
    <w:rsid w:val="00EB275A"/>
    <w:rsid w:val="00EC4A37"/>
    <w:rsid w:val="00EE2FAF"/>
    <w:rsid w:val="00F1456F"/>
    <w:rsid w:val="00F634D1"/>
    <w:rsid w:val="00F65737"/>
    <w:rsid w:val="00F700D3"/>
    <w:rsid w:val="00F71FC6"/>
    <w:rsid w:val="00F811E8"/>
    <w:rsid w:val="00F96FF4"/>
    <w:rsid w:val="00FC1013"/>
    <w:rsid w:val="00FC5E17"/>
    <w:rsid w:val="00FF7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A7C14"/>
  <w15:docId w15:val="{AB547B4E-7FC4-48CC-8CB8-02364153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486D"/>
    <w:rPr>
      <w:sz w:val="18"/>
      <w:szCs w:val="18"/>
    </w:rPr>
  </w:style>
  <w:style w:type="paragraph" w:styleId="a4">
    <w:name w:val="footer"/>
    <w:basedOn w:val="a"/>
    <w:link w:val="Char0"/>
    <w:uiPriority w:val="99"/>
    <w:unhideWhenUsed/>
    <w:rsid w:val="0089486D"/>
    <w:pPr>
      <w:tabs>
        <w:tab w:val="center" w:pos="4153"/>
        <w:tab w:val="right" w:pos="8306"/>
      </w:tabs>
      <w:snapToGrid w:val="0"/>
      <w:jc w:val="left"/>
    </w:pPr>
    <w:rPr>
      <w:sz w:val="18"/>
      <w:szCs w:val="18"/>
    </w:rPr>
  </w:style>
  <w:style w:type="character" w:customStyle="1" w:styleId="Char0">
    <w:name w:val="页脚 Char"/>
    <w:basedOn w:val="a0"/>
    <w:link w:val="a4"/>
    <w:uiPriority w:val="99"/>
    <w:rsid w:val="0089486D"/>
    <w:rPr>
      <w:sz w:val="18"/>
      <w:szCs w:val="18"/>
    </w:rPr>
  </w:style>
  <w:style w:type="paragraph" w:styleId="a5">
    <w:name w:val="List Paragraph"/>
    <w:basedOn w:val="a"/>
    <w:uiPriority w:val="34"/>
    <w:qFormat/>
    <w:rsid w:val="00253396"/>
    <w:pPr>
      <w:ind w:firstLineChars="200" w:firstLine="420"/>
    </w:pPr>
  </w:style>
  <w:style w:type="character" w:styleId="a6">
    <w:name w:val="annotation reference"/>
    <w:basedOn w:val="a0"/>
    <w:uiPriority w:val="99"/>
    <w:semiHidden/>
    <w:unhideWhenUsed/>
    <w:rsid w:val="00052EBD"/>
    <w:rPr>
      <w:sz w:val="21"/>
      <w:szCs w:val="21"/>
    </w:rPr>
  </w:style>
  <w:style w:type="paragraph" w:styleId="a7">
    <w:name w:val="annotation text"/>
    <w:basedOn w:val="a"/>
    <w:link w:val="Char1"/>
    <w:uiPriority w:val="99"/>
    <w:unhideWhenUsed/>
    <w:rsid w:val="00052EBD"/>
    <w:pPr>
      <w:jc w:val="left"/>
    </w:pPr>
  </w:style>
  <w:style w:type="character" w:customStyle="1" w:styleId="Char1">
    <w:name w:val="批注文字 Char"/>
    <w:basedOn w:val="a0"/>
    <w:link w:val="a7"/>
    <w:uiPriority w:val="99"/>
    <w:rsid w:val="00052EBD"/>
  </w:style>
  <w:style w:type="paragraph" w:styleId="a8">
    <w:name w:val="annotation subject"/>
    <w:basedOn w:val="a7"/>
    <w:next w:val="a7"/>
    <w:link w:val="Char2"/>
    <w:uiPriority w:val="99"/>
    <w:semiHidden/>
    <w:unhideWhenUsed/>
    <w:rsid w:val="00052EBD"/>
    <w:rPr>
      <w:b/>
      <w:bCs/>
    </w:rPr>
  </w:style>
  <w:style w:type="character" w:customStyle="1" w:styleId="Char2">
    <w:name w:val="批注主题 Char"/>
    <w:basedOn w:val="Char1"/>
    <w:link w:val="a8"/>
    <w:uiPriority w:val="99"/>
    <w:semiHidden/>
    <w:rsid w:val="00052EBD"/>
    <w:rPr>
      <w:b/>
      <w:bCs/>
    </w:rPr>
  </w:style>
  <w:style w:type="paragraph" w:styleId="a9">
    <w:name w:val="Balloon Text"/>
    <w:basedOn w:val="a"/>
    <w:link w:val="Char3"/>
    <w:uiPriority w:val="99"/>
    <w:semiHidden/>
    <w:unhideWhenUsed/>
    <w:rsid w:val="00052EBD"/>
    <w:rPr>
      <w:sz w:val="18"/>
      <w:szCs w:val="18"/>
    </w:rPr>
  </w:style>
  <w:style w:type="character" w:customStyle="1" w:styleId="Char3">
    <w:name w:val="批注框文本 Char"/>
    <w:basedOn w:val="a0"/>
    <w:link w:val="a9"/>
    <w:uiPriority w:val="99"/>
    <w:semiHidden/>
    <w:rsid w:val="00052E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9F5EF-E4D7-4C1B-BF04-349B2282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642</Words>
  <Characters>3662</Characters>
  <Application>Microsoft Office Word</Application>
  <DocSecurity>0</DocSecurity>
  <Lines>30</Lines>
  <Paragraphs>8</Paragraphs>
  <ScaleCrop>false</ScaleCrop>
  <Company>Microsoft</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sdgs</cp:lastModifiedBy>
  <cp:revision>56</cp:revision>
  <cp:lastPrinted>2019-11-26T08:37:00Z</cp:lastPrinted>
  <dcterms:created xsi:type="dcterms:W3CDTF">2019-09-30T03:13:00Z</dcterms:created>
  <dcterms:modified xsi:type="dcterms:W3CDTF">2019-12-04T06:39:00Z</dcterms:modified>
</cp:coreProperties>
</file>