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14" w:rsidRDefault="00B45D14" w:rsidP="00B45D14">
      <w:pPr>
        <w:spacing w:line="590" w:lineRule="exact"/>
        <w:ind w:right="1280"/>
        <w:rPr>
          <w:rFonts w:ascii="仿宋_GB2312" w:eastAsia="仿宋_GB2312" w:hAnsi="仿宋" w:cs="仿宋" w:hint="eastAsia"/>
          <w:sz w:val="32"/>
          <w:szCs w:val="32"/>
        </w:rPr>
      </w:pPr>
      <w:r w:rsidRPr="00794EDF">
        <w:rPr>
          <w:rFonts w:ascii="黑体" w:eastAsia="黑体" w:hAnsi="黑体" w:cs="仿宋" w:hint="eastAsia"/>
          <w:sz w:val="32"/>
          <w:szCs w:val="32"/>
        </w:rPr>
        <w:t>附件</w:t>
      </w:r>
    </w:p>
    <w:p w:rsidR="00B45D14" w:rsidRPr="00794EDF" w:rsidRDefault="00B45D14" w:rsidP="00B45D14">
      <w:pPr>
        <w:spacing w:line="590" w:lineRule="exact"/>
        <w:ind w:right="1280"/>
        <w:jc w:val="right"/>
        <w:rPr>
          <w:rFonts w:ascii="仿宋_GB2312" w:eastAsia="仿宋_GB2312" w:hAnsi="仿宋" w:cs="仿宋" w:hint="eastAsia"/>
          <w:sz w:val="32"/>
          <w:szCs w:val="32"/>
        </w:rPr>
      </w:pPr>
    </w:p>
    <w:p w:rsidR="00B45D14" w:rsidRPr="00794EDF" w:rsidRDefault="00B45D14" w:rsidP="00B45D14">
      <w:pPr>
        <w:spacing w:line="590" w:lineRule="exact"/>
        <w:jc w:val="center"/>
        <w:rPr>
          <w:rFonts w:ascii="方正小标宋简体" w:eastAsia="方正小标宋简体" w:hAnsi="宋体" w:cs="宋体" w:hint="eastAsia"/>
          <w:sz w:val="44"/>
          <w:szCs w:val="44"/>
        </w:rPr>
      </w:pPr>
      <w:r w:rsidRPr="00794EDF">
        <w:rPr>
          <w:rFonts w:ascii="方正小标宋简体" w:eastAsia="方正小标宋简体" w:hAnsi="宋体" w:cs="宋体" w:hint="eastAsia"/>
          <w:sz w:val="44"/>
          <w:szCs w:val="44"/>
        </w:rPr>
        <w:t>山西省2020年畜禽粪污资源化利用工作计划</w:t>
      </w:r>
    </w:p>
    <w:p w:rsidR="00B45D14" w:rsidRPr="00794EDF" w:rsidRDefault="00B45D14" w:rsidP="00B45D14">
      <w:pPr>
        <w:spacing w:line="590" w:lineRule="exact"/>
        <w:ind w:firstLineChars="200" w:firstLine="640"/>
        <w:rPr>
          <w:rFonts w:ascii="仿宋_GB2312" w:eastAsia="仿宋_GB2312" w:hAnsi="仿宋" w:cs="仿宋" w:hint="eastAsia"/>
          <w:sz w:val="32"/>
          <w:szCs w:val="32"/>
        </w:rPr>
      </w:pPr>
    </w:p>
    <w:p w:rsidR="00B45D14" w:rsidRPr="00794EDF" w:rsidRDefault="00B45D14" w:rsidP="00B45D14">
      <w:pPr>
        <w:spacing w:line="590" w:lineRule="exact"/>
        <w:ind w:firstLineChars="200" w:firstLine="640"/>
        <w:rPr>
          <w:rFonts w:ascii="仿宋_GB2312" w:eastAsia="仿宋_GB2312" w:hAnsi="仿宋" w:cs="仿宋" w:hint="eastAsia"/>
          <w:sz w:val="32"/>
          <w:szCs w:val="32"/>
        </w:rPr>
      </w:pPr>
      <w:r w:rsidRPr="00794EDF">
        <w:rPr>
          <w:rFonts w:ascii="仿宋_GB2312" w:eastAsia="仿宋_GB2312" w:hAnsi="仿宋" w:cs="仿宋" w:hint="eastAsia"/>
          <w:sz w:val="32"/>
          <w:szCs w:val="32"/>
        </w:rPr>
        <w:t>2020年，畜禽粪污资源化利用工作要以习近平生态文明思想为指导，认真贯彻省委、省政府有关生态环境治理和农业面源污染治理的决策部署，对标对表基本解决大规模养殖场粪污处理和资源化问题的目标任务，以黄河、汾河流域为重点，加强政策扶持力度，加强技术推广力度，加强措施保障力度，坚决补上畜禽养殖环境保护的突出短板，确保全省畜禽粪污综合利用率达到77%以上，全省规模养殖场粪污处理利用设施配套率达到95%以上，大型规模养殖场粪污处理设施配套率达到100%，助力农业农村污染治理攻坚战、农业绿色高质量发展和农村人居环境整治。</w:t>
      </w:r>
    </w:p>
    <w:p w:rsidR="00B45D14" w:rsidRPr="00794EDF" w:rsidRDefault="00B45D14" w:rsidP="00B45D14">
      <w:pPr>
        <w:pStyle w:val="Char4"/>
        <w:spacing w:line="590" w:lineRule="exact"/>
        <w:ind w:firstLineChars="200" w:firstLine="640"/>
        <w:rPr>
          <w:rFonts w:ascii="黑体" w:eastAsia="黑体" w:hAnsi="黑体" w:cs="黑体" w:hint="eastAsia"/>
          <w:sz w:val="32"/>
          <w:szCs w:val="32"/>
        </w:rPr>
      </w:pPr>
      <w:r w:rsidRPr="00794EDF">
        <w:rPr>
          <w:rFonts w:ascii="黑体" w:eastAsia="黑体" w:hAnsi="黑体" w:cs="黑体" w:hint="eastAsia"/>
          <w:sz w:val="32"/>
          <w:szCs w:val="32"/>
        </w:rPr>
        <w:t>一、加强政策扶持，加快畜禽粪污资源化利用</w:t>
      </w:r>
    </w:p>
    <w:p w:rsidR="00B45D14" w:rsidRPr="00794EDF" w:rsidRDefault="00B45D14" w:rsidP="00B45D14">
      <w:pPr>
        <w:pStyle w:val="Char4"/>
        <w:spacing w:line="590" w:lineRule="exact"/>
        <w:ind w:firstLineChars="200" w:firstLine="640"/>
        <w:rPr>
          <w:rFonts w:ascii="楷体_GB2312" w:eastAsia="楷体_GB2312" w:hAnsi="楷体" w:cs="楷体" w:hint="eastAsia"/>
          <w:sz w:val="32"/>
          <w:szCs w:val="32"/>
        </w:rPr>
      </w:pPr>
      <w:r w:rsidRPr="00794EDF">
        <w:rPr>
          <w:rFonts w:ascii="楷体_GB2312" w:eastAsia="楷体_GB2312" w:hAnsi="楷体" w:cs="楷体" w:hint="eastAsia"/>
          <w:sz w:val="32"/>
          <w:szCs w:val="32"/>
        </w:rPr>
        <w:t>（一）加大规模养殖场粪污处理设施建设力度</w:t>
      </w:r>
    </w:p>
    <w:p w:rsidR="00B45D14" w:rsidRPr="00794EDF" w:rsidRDefault="00B45D14" w:rsidP="00B45D14">
      <w:pPr>
        <w:spacing w:line="590" w:lineRule="exact"/>
        <w:ind w:firstLineChars="200" w:firstLine="640"/>
        <w:rPr>
          <w:rFonts w:ascii="仿宋_GB2312" w:eastAsia="仿宋_GB2312" w:hAnsi="仿宋_GB2312" w:cs="仿宋_GB2312" w:hint="eastAsia"/>
          <w:sz w:val="32"/>
          <w:szCs w:val="32"/>
        </w:rPr>
      </w:pPr>
      <w:r w:rsidRPr="00794EDF">
        <w:rPr>
          <w:rFonts w:ascii="仿宋_GB2312" w:eastAsia="仿宋_GB2312" w:hAnsi="仿宋" w:cs="仿宋" w:hint="eastAsia"/>
          <w:sz w:val="32"/>
          <w:szCs w:val="32"/>
        </w:rPr>
        <w:t>以沿黄河、汾河等流域的县（市、区）为重点，加大规模养殖场粪污处理设施建设力度，2020年全省计划完成763个规模养殖场粪污处理设施建设任务（市县任务分解表见附件）。</w:t>
      </w:r>
      <w:r w:rsidRPr="00794EDF">
        <w:rPr>
          <w:rFonts w:ascii="仿宋_GB2312" w:eastAsia="仿宋_GB2312" w:hAnsi="仿宋_GB2312" w:cs="仿宋_GB2312" w:hint="eastAsia"/>
          <w:sz w:val="32"/>
          <w:szCs w:val="32"/>
        </w:rPr>
        <w:t>规模养殖场粪污处理设施要按照“两符合、三分离、四配套、五到位”的要求进行建设，即：符合土地承载能力、符合选址和布局要求；固液粪污分离、雨水污水分离、净道</w:t>
      </w:r>
      <w:r w:rsidRPr="00794EDF">
        <w:rPr>
          <w:rFonts w:ascii="仿宋_GB2312" w:eastAsia="仿宋_GB2312" w:hAnsi="仿宋_GB2312" w:cs="仿宋_GB2312" w:hint="eastAsia"/>
          <w:sz w:val="32"/>
          <w:szCs w:val="32"/>
        </w:rPr>
        <w:lastRenderedPageBreak/>
        <w:t>污道分离；配套固体粪便堆储场、配套液体粪污储存处理设施、配套粪污管网还田系统或粪污运输车、配套粪污消纳土地或与有机肥厂签订协议；节水措施到位（从源头改造饮水设备，改变清粪方式）、粪污清运到位（日产日清，定时定点）、处理技术到位（粪污采用适合本场的处理工艺）、出场记录到位（粪污出场要有记录）、设施运行到位（设施正常运行、粪污无抛洒、无外排、全部利用）、日常监管到位（养殖场承诺，日常巡查监管有记录）。</w:t>
      </w:r>
    </w:p>
    <w:p w:rsidR="00B45D14" w:rsidRPr="00794EDF" w:rsidRDefault="00B45D14" w:rsidP="00B45D14">
      <w:pPr>
        <w:pStyle w:val="Char4"/>
        <w:spacing w:line="590" w:lineRule="exact"/>
        <w:ind w:firstLineChars="200" w:firstLine="640"/>
        <w:rPr>
          <w:rFonts w:ascii="楷体_GB2312" w:eastAsia="楷体_GB2312" w:hAnsi="楷体" w:cs="楷体" w:hint="eastAsia"/>
          <w:sz w:val="32"/>
          <w:szCs w:val="32"/>
        </w:rPr>
      </w:pPr>
      <w:r w:rsidRPr="00794EDF">
        <w:rPr>
          <w:rFonts w:ascii="楷体_GB2312" w:eastAsia="楷体_GB2312" w:hAnsi="楷体" w:cs="楷体" w:hint="eastAsia"/>
          <w:sz w:val="32"/>
          <w:szCs w:val="32"/>
        </w:rPr>
        <w:t>（二）加大散养户粪污处理力度</w:t>
      </w:r>
    </w:p>
    <w:p w:rsidR="00B45D14" w:rsidRPr="00794EDF" w:rsidRDefault="00B45D14" w:rsidP="00B45D14">
      <w:pPr>
        <w:pStyle w:val="Char4"/>
        <w:spacing w:line="590" w:lineRule="exact"/>
        <w:ind w:firstLineChars="200" w:firstLine="640"/>
        <w:rPr>
          <w:rFonts w:ascii="仿宋_GB2312" w:eastAsia="仿宋_GB2312" w:hAnsi="仿宋" w:cs="仿宋" w:hint="eastAsia"/>
          <w:color w:val="000000"/>
          <w:kern w:val="0"/>
          <w:sz w:val="32"/>
          <w:szCs w:val="32"/>
        </w:rPr>
      </w:pPr>
      <w:r w:rsidRPr="00794EDF">
        <w:rPr>
          <w:rFonts w:ascii="仿宋_GB2312" w:eastAsia="仿宋_GB2312" w:hint="eastAsia"/>
          <w:sz w:val="32"/>
          <w:szCs w:val="32"/>
        </w:rPr>
        <w:t>积极引导养殖场户粪污就近就地还田利用，在养殖密集土地承载力有限的地区，因地制宜建设畜禽粪污集中处理中心。</w:t>
      </w:r>
      <w:r w:rsidRPr="00794EDF">
        <w:rPr>
          <w:rFonts w:ascii="仿宋_GB2312" w:eastAsia="仿宋_GB2312" w:hAnsi="仿宋" w:cs="仿宋" w:hint="eastAsia"/>
          <w:color w:val="000000"/>
          <w:kern w:val="0"/>
          <w:sz w:val="32"/>
          <w:szCs w:val="32"/>
        </w:rPr>
        <w:t>鼓励第三方企业对畜禽粪污进行专业化集中处理利用，打造畜禽粪污能源化利用的沼气工程典型项目。</w:t>
      </w:r>
      <w:r w:rsidRPr="00794EDF">
        <w:rPr>
          <w:rFonts w:ascii="仿宋_GB2312" w:eastAsia="仿宋_GB2312" w:hint="eastAsia"/>
          <w:sz w:val="32"/>
          <w:szCs w:val="32"/>
        </w:rPr>
        <w:t>鼓励通过粪肥经纪公司、经纪人等社会化服务主体，与种植主体有效衔接，解决无法足量配套用肥土地的散养户的粪污利用问题，</w:t>
      </w:r>
      <w:r w:rsidRPr="00794EDF">
        <w:rPr>
          <w:rFonts w:ascii="仿宋_GB2312" w:eastAsia="仿宋_GB2312" w:hAnsi="仿宋" w:cs="仿宋" w:hint="eastAsia"/>
          <w:color w:val="000000"/>
          <w:kern w:val="0"/>
          <w:sz w:val="32"/>
          <w:szCs w:val="32"/>
        </w:rPr>
        <w:t>实现畜禽粪污资源化利用新突破。</w:t>
      </w:r>
    </w:p>
    <w:p w:rsidR="00B45D14" w:rsidRPr="00794EDF" w:rsidRDefault="00B45D14" w:rsidP="00B45D14">
      <w:pPr>
        <w:pStyle w:val="Char4"/>
        <w:spacing w:line="590" w:lineRule="exact"/>
        <w:ind w:firstLineChars="200" w:firstLine="640"/>
        <w:rPr>
          <w:rFonts w:ascii="楷体_GB2312" w:eastAsia="楷体_GB2312" w:hAnsi="楷体" w:cs="楷体" w:hint="eastAsia"/>
          <w:color w:val="000000"/>
          <w:kern w:val="0"/>
          <w:sz w:val="32"/>
          <w:szCs w:val="32"/>
        </w:rPr>
      </w:pPr>
      <w:r w:rsidRPr="00794EDF">
        <w:rPr>
          <w:rFonts w:ascii="楷体_GB2312" w:eastAsia="楷体_GB2312" w:hAnsi="楷体" w:cs="楷体" w:hint="eastAsia"/>
          <w:color w:val="000000"/>
          <w:kern w:val="0"/>
          <w:sz w:val="32"/>
          <w:szCs w:val="32"/>
        </w:rPr>
        <w:t>（三）加大整县推进畜禽粪污资源化利用工作力度</w:t>
      </w:r>
    </w:p>
    <w:p w:rsidR="00B45D14" w:rsidRPr="00794EDF" w:rsidRDefault="00B45D14" w:rsidP="00B45D14">
      <w:pPr>
        <w:pStyle w:val="Char4"/>
        <w:spacing w:line="590" w:lineRule="exact"/>
        <w:ind w:firstLineChars="200" w:firstLine="624"/>
        <w:rPr>
          <w:rFonts w:ascii="仿宋_GB2312" w:eastAsia="仿宋_GB2312" w:hAnsi="仿宋" w:cs="仿宋" w:hint="eastAsia"/>
          <w:color w:val="000000"/>
          <w:kern w:val="0"/>
          <w:sz w:val="32"/>
          <w:szCs w:val="32"/>
        </w:rPr>
      </w:pPr>
      <w:r w:rsidRPr="00794EDF">
        <w:rPr>
          <w:rFonts w:ascii="仿宋_GB2312" w:eastAsia="仿宋_GB2312" w:hAnsi="仿宋" w:cs="仿宋" w:hint="eastAsia"/>
          <w:color w:val="000000"/>
          <w:spacing w:val="-4"/>
          <w:kern w:val="0"/>
          <w:sz w:val="32"/>
          <w:szCs w:val="32"/>
        </w:rPr>
        <w:t>加快高平市、泽州县、太谷区、山阴县、应县五个国家畜牧大县和阳城县、榆次区两个非畜牧大县畜禽粪污资源化利用整县推进项目建设步伐。加强项目监督管理，规范项目实施，开展绩效评价，定期上报项目实施进展，组织开展技术服务，压实项目县政府主体责任，建立部门协同工作机制，督促加快项目实施进度，为全省畜禽粪污资源化利用整县推进提供示范</w:t>
      </w:r>
      <w:r w:rsidRPr="00794EDF">
        <w:rPr>
          <w:rFonts w:ascii="仿宋_GB2312" w:eastAsia="仿宋_GB2312" w:hAnsi="仿宋" w:cs="仿宋" w:hint="eastAsia"/>
          <w:color w:val="000000"/>
          <w:kern w:val="0"/>
          <w:sz w:val="32"/>
          <w:szCs w:val="32"/>
        </w:rPr>
        <w:t>。</w:t>
      </w:r>
    </w:p>
    <w:p w:rsidR="00B45D14" w:rsidRPr="00794EDF" w:rsidRDefault="00B45D14" w:rsidP="00B45D14">
      <w:pPr>
        <w:pStyle w:val="Char4"/>
        <w:spacing w:line="590" w:lineRule="exact"/>
        <w:ind w:firstLineChars="200" w:firstLine="640"/>
        <w:rPr>
          <w:rFonts w:ascii="楷体_GB2312" w:eastAsia="楷体_GB2312" w:hAnsi="楷体" w:cs="楷体" w:hint="eastAsia"/>
          <w:color w:val="000000"/>
          <w:kern w:val="0"/>
          <w:sz w:val="32"/>
          <w:szCs w:val="32"/>
        </w:rPr>
      </w:pPr>
      <w:r w:rsidRPr="00794EDF">
        <w:rPr>
          <w:rFonts w:ascii="楷体_GB2312" w:eastAsia="楷体_GB2312" w:hAnsi="楷体" w:cs="楷体" w:hint="eastAsia"/>
          <w:color w:val="000000"/>
          <w:kern w:val="0"/>
          <w:sz w:val="32"/>
          <w:szCs w:val="32"/>
        </w:rPr>
        <w:lastRenderedPageBreak/>
        <w:t>（四）加快推进种养结合</w:t>
      </w:r>
    </w:p>
    <w:p w:rsidR="00B45D14" w:rsidRPr="00794EDF" w:rsidRDefault="00B45D14" w:rsidP="00B45D14">
      <w:pPr>
        <w:spacing w:line="590" w:lineRule="exact"/>
        <w:ind w:firstLineChars="200" w:firstLine="640"/>
        <w:rPr>
          <w:rFonts w:ascii="仿宋_GB2312" w:eastAsia="仿宋_GB2312" w:hint="eastAsia"/>
          <w:sz w:val="32"/>
          <w:szCs w:val="32"/>
        </w:rPr>
      </w:pPr>
      <w:r w:rsidRPr="00794EDF">
        <w:rPr>
          <w:rFonts w:ascii="仿宋_GB2312" w:eastAsia="仿宋_GB2312" w:hint="eastAsia"/>
          <w:sz w:val="32"/>
          <w:szCs w:val="32"/>
        </w:rPr>
        <w:t>以粪污无害化处理、粪肥全量还田为重点，坚持依法治理、以用促治、利用优先，加快推进种养结合，促进畜禽粪污还田利用。市县要根据环境容量和土地承载力，科学规划布局，统筹安排种养发展空间，明确粪肥利用的目标、途径和任务，加强种养结合发展指导。推行规模养殖场畜禽粪肥还田利用台账管理，引导实现养分平衡。推广经济高效、灵活多样的种养结合模式，引导养殖场户配套种植用地，拓宽粪肥利用渠道，扩大粪肥经纪公司、经纪人队伍，调动种植户使用粪肥积极性，形成有效衔接、相互匹配的种养业发展格局。</w:t>
      </w:r>
    </w:p>
    <w:p w:rsidR="00B45D14" w:rsidRPr="00794EDF" w:rsidRDefault="00B45D14" w:rsidP="00B45D14">
      <w:pPr>
        <w:pStyle w:val="Char4"/>
        <w:spacing w:line="590" w:lineRule="exact"/>
        <w:ind w:firstLineChars="200" w:firstLine="640"/>
        <w:rPr>
          <w:rFonts w:ascii="黑体" w:eastAsia="黑体" w:hAnsi="黑体" w:cs="黑体" w:hint="eastAsia"/>
          <w:sz w:val="32"/>
          <w:szCs w:val="32"/>
        </w:rPr>
      </w:pPr>
      <w:r w:rsidRPr="00794EDF">
        <w:rPr>
          <w:rFonts w:ascii="黑体" w:eastAsia="黑体" w:hAnsi="黑体" w:cs="黑体" w:hint="eastAsia"/>
          <w:sz w:val="32"/>
          <w:szCs w:val="32"/>
        </w:rPr>
        <w:t>二、加强技术推广，提升科技支撑能力</w:t>
      </w:r>
    </w:p>
    <w:p w:rsidR="00B45D14" w:rsidRPr="00794EDF" w:rsidRDefault="00B45D14" w:rsidP="00B45D14">
      <w:pPr>
        <w:pStyle w:val="Char4"/>
        <w:spacing w:line="590" w:lineRule="exact"/>
        <w:ind w:firstLineChars="200" w:firstLine="640"/>
        <w:rPr>
          <w:rFonts w:ascii="楷体_GB2312" w:eastAsia="楷体_GB2312" w:hAnsi="楷体" w:cs="楷体" w:hint="eastAsia"/>
          <w:sz w:val="32"/>
          <w:szCs w:val="32"/>
        </w:rPr>
      </w:pPr>
      <w:r w:rsidRPr="00794EDF">
        <w:rPr>
          <w:rFonts w:ascii="楷体_GB2312" w:eastAsia="楷体_GB2312" w:hAnsi="楷体" w:cs="楷体" w:hint="eastAsia"/>
          <w:sz w:val="32"/>
          <w:szCs w:val="32"/>
        </w:rPr>
        <w:t>（一）大力推广畜禽粪污资源化利用各项标准</w:t>
      </w:r>
    </w:p>
    <w:p w:rsidR="00B45D14" w:rsidRPr="00794EDF" w:rsidRDefault="00B45D14" w:rsidP="00B45D14">
      <w:pPr>
        <w:spacing w:line="590" w:lineRule="exact"/>
        <w:ind w:firstLineChars="200" w:firstLine="640"/>
        <w:rPr>
          <w:rFonts w:ascii="仿宋_GB2312" w:eastAsia="仿宋_GB2312" w:cs="仿宋" w:hint="eastAsia"/>
          <w:color w:val="000000"/>
          <w:sz w:val="32"/>
          <w:szCs w:val="32"/>
        </w:rPr>
      </w:pPr>
      <w:r w:rsidRPr="00794EDF">
        <w:rPr>
          <w:rFonts w:ascii="仿宋_GB2312" w:eastAsia="仿宋_GB2312" w:hAnsi="仿宋" w:cs="仿宋" w:hint="eastAsia"/>
          <w:color w:val="000000"/>
          <w:kern w:val="0"/>
          <w:sz w:val="32"/>
          <w:szCs w:val="32"/>
        </w:rPr>
        <w:t>各市、县要大力推广农业农村部《畜禽粪便堆肥技术规范》，</w:t>
      </w:r>
      <w:r w:rsidRPr="00794EDF">
        <w:rPr>
          <w:rFonts w:ascii="仿宋_GB2312" w:eastAsia="仿宋_GB2312" w:hAnsi="仿宋" w:cs="仿宋" w:hint="eastAsia"/>
          <w:kern w:val="0"/>
          <w:sz w:val="32"/>
          <w:szCs w:val="32"/>
        </w:rPr>
        <w:t>推广山西省《规模猪场（小区）粪污设施配套与建设标准》《规模奶牛场粪污处理设施建设规程》《规模肉牛场粪污处理设施建设规程》《规模蛋鸡场粪污处理设施建设规程》《规模肉鸡场粪污处理设施建设规程》地方标准，指导做好规模养殖场粪污处理设施新建和改扩建工作。制定山西省</w:t>
      </w:r>
      <w:r w:rsidRPr="00794EDF">
        <w:rPr>
          <w:rFonts w:ascii="仿宋_GB2312" w:eastAsia="仿宋_GB2312" w:hAnsi="仿宋" w:cs="仿宋" w:hint="eastAsia"/>
          <w:sz w:val="32"/>
          <w:szCs w:val="32"/>
        </w:rPr>
        <w:t>《规模猪场粪水还田技术规程》《畜禽粪污沼渣基质制备技术规程》《果园施用畜禽粪污沼液技术规程》《设施蔬菜畜禽粪污沼渣沼液施用技术规程》《禾谷作物施用畜禽粪污沼液技术规程》地方标准，</w:t>
      </w:r>
      <w:r w:rsidRPr="00794EDF">
        <w:rPr>
          <w:rFonts w:ascii="仿宋_GB2312" w:eastAsia="仿宋_GB2312" w:hint="eastAsia"/>
          <w:sz w:val="32"/>
          <w:szCs w:val="32"/>
        </w:rPr>
        <w:t>指导种植户科学合理施用沼肥沼液，</w:t>
      </w:r>
      <w:r w:rsidRPr="00794EDF">
        <w:rPr>
          <w:rFonts w:ascii="仿宋_GB2312" w:eastAsia="仿宋_GB2312" w:hint="eastAsia"/>
          <w:sz w:val="32"/>
          <w:szCs w:val="32"/>
        </w:rPr>
        <w:lastRenderedPageBreak/>
        <w:t>推进区域内粪肥还田利用。</w:t>
      </w:r>
    </w:p>
    <w:p w:rsidR="00B45D14" w:rsidRPr="00794EDF" w:rsidRDefault="00B45D14" w:rsidP="00B45D14">
      <w:pPr>
        <w:pStyle w:val="Char4"/>
        <w:spacing w:line="590" w:lineRule="exact"/>
        <w:ind w:firstLineChars="200" w:firstLine="640"/>
        <w:rPr>
          <w:rFonts w:ascii="楷体_GB2312" w:eastAsia="楷体_GB2312" w:hAnsi="楷体" w:cs="楷体" w:hint="eastAsia"/>
          <w:sz w:val="32"/>
          <w:szCs w:val="32"/>
        </w:rPr>
      </w:pPr>
      <w:r w:rsidRPr="00794EDF">
        <w:rPr>
          <w:rFonts w:ascii="楷体_GB2312" w:eastAsia="楷体_GB2312" w:hAnsi="楷体" w:cs="楷体" w:hint="eastAsia"/>
          <w:sz w:val="32"/>
          <w:szCs w:val="32"/>
        </w:rPr>
        <w:t>（二）开展技术研究与推广</w:t>
      </w:r>
    </w:p>
    <w:p w:rsidR="00B45D14" w:rsidRPr="00794EDF" w:rsidRDefault="00B45D14" w:rsidP="00B45D14">
      <w:pPr>
        <w:spacing w:line="590" w:lineRule="exact"/>
        <w:ind w:firstLineChars="200" w:firstLine="640"/>
        <w:rPr>
          <w:rFonts w:ascii="仿宋_GB2312" w:eastAsia="仿宋_GB2312" w:cs="仿宋" w:hint="eastAsia"/>
          <w:sz w:val="32"/>
          <w:szCs w:val="32"/>
        </w:rPr>
      </w:pPr>
      <w:r w:rsidRPr="00794EDF">
        <w:rPr>
          <w:rFonts w:ascii="仿宋_GB2312" w:eastAsia="仿宋_GB2312" w:cs="仿宋" w:hint="eastAsia"/>
          <w:sz w:val="32"/>
          <w:szCs w:val="32"/>
        </w:rPr>
        <w:t>开展畜禽粪污轻简化处理利用技术和畜禽粪肥施用关键技术装备协作攻关，推广滴灌施肥、机械深施等农机农艺相融合的高效施肥技术。围绕防止臭气产生和控制臭气扩散两方面，从调控饲料、科学养殖、除臭处理、合理施用等方面加强研究攻关。推广使用节水式饮水器，建设漏缝地板、舍下贮存池、自动清粪、雨污分流等设施，减少粪污产生总量。推广圈舍气体净化、粪污覆盖贮存等技术控制气体排放。推广低蛋白日粮技术标准，降低畜禽养殖氮排泄量。各市县要严格规范饲料添加剂和兽药的生产和使用，推进铜、锌等矿物质微量元素类饲料添加剂减量使用，推进兽用抗菌药施用减量化行动。</w:t>
      </w:r>
    </w:p>
    <w:p w:rsidR="00B45D14" w:rsidRPr="00794EDF" w:rsidRDefault="00B45D14" w:rsidP="00B45D14">
      <w:pPr>
        <w:spacing w:line="590" w:lineRule="exact"/>
        <w:ind w:firstLineChars="200" w:firstLine="640"/>
        <w:rPr>
          <w:rFonts w:ascii="楷体_GB2312" w:eastAsia="楷体_GB2312" w:hAnsi="楷体" w:cs="楷体" w:hint="eastAsia"/>
          <w:color w:val="000000"/>
          <w:sz w:val="32"/>
          <w:szCs w:val="32"/>
        </w:rPr>
      </w:pPr>
      <w:r w:rsidRPr="00794EDF">
        <w:rPr>
          <w:rFonts w:ascii="楷体_GB2312" w:eastAsia="楷体_GB2312" w:hAnsi="楷体" w:cs="楷体" w:hint="eastAsia"/>
          <w:color w:val="000000"/>
          <w:sz w:val="32"/>
          <w:szCs w:val="32"/>
        </w:rPr>
        <w:t>（三）组织培训和学习交流</w:t>
      </w:r>
    </w:p>
    <w:p w:rsidR="00B45D14" w:rsidRPr="00794EDF" w:rsidRDefault="00B45D14" w:rsidP="00B45D14">
      <w:pPr>
        <w:spacing w:line="590" w:lineRule="exact"/>
        <w:ind w:firstLineChars="200" w:firstLine="640"/>
        <w:rPr>
          <w:rFonts w:ascii="仿宋_GB2312" w:eastAsia="仿宋_GB2312" w:cs="仿宋" w:hint="eastAsia"/>
          <w:color w:val="000000"/>
          <w:sz w:val="32"/>
          <w:szCs w:val="32"/>
        </w:rPr>
      </w:pPr>
      <w:r w:rsidRPr="00794EDF">
        <w:rPr>
          <w:rFonts w:ascii="仿宋_GB2312" w:eastAsia="仿宋_GB2312" w:hint="eastAsia"/>
          <w:sz w:val="32"/>
          <w:szCs w:val="32"/>
        </w:rPr>
        <w:t>组织参加全国畜禽粪污资源化利用各类会议、培训，考察先进典型，学习新理念、新技术、新成果。组织开展畜禽养殖标准化示范创建活动，继续创建全国畜禽养殖标准化示范场，总结推广畜禽清洁养殖工艺和实用技术。</w:t>
      </w:r>
      <w:r w:rsidRPr="00794EDF">
        <w:rPr>
          <w:rFonts w:ascii="仿宋_GB2312" w:eastAsia="仿宋_GB2312" w:cs="仿宋" w:hint="eastAsia"/>
          <w:color w:val="000000"/>
          <w:sz w:val="32"/>
          <w:szCs w:val="32"/>
        </w:rPr>
        <w:t>举办各类技术培训班，交流学习</w:t>
      </w:r>
      <w:r w:rsidRPr="00794EDF">
        <w:rPr>
          <w:rFonts w:ascii="仿宋_GB2312" w:eastAsia="仿宋_GB2312" w:hAnsi="仿宋" w:cs="仿宋" w:hint="eastAsia"/>
          <w:color w:val="000000"/>
          <w:kern w:val="0"/>
          <w:sz w:val="32"/>
          <w:szCs w:val="32"/>
        </w:rPr>
        <w:t>畜禽粪污资源化利用成功模式和经验，提升行业建设管理水平，</w:t>
      </w:r>
      <w:r w:rsidRPr="00794EDF">
        <w:rPr>
          <w:rFonts w:ascii="仿宋_GB2312" w:eastAsia="仿宋_GB2312" w:cs="仿宋" w:hint="eastAsia"/>
          <w:color w:val="000000"/>
          <w:sz w:val="32"/>
          <w:szCs w:val="32"/>
        </w:rPr>
        <w:t>组织各种形式的咨询服务活动，为全省畜禽粪污处理和资源化利用工作提供强有力的技术支撑。</w:t>
      </w:r>
    </w:p>
    <w:p w:rsidR="00B45D14" w:rsidRPr="00794EDF" w:rsidRDefault="00B45D14" w:rsidP="00B45D14">
      <w:pPr>
        <w:pStyle w:val="Char4"/>
        <w:spacing w:line="590" w:lineRule="exact"/>
        <w:ind w:firstLineChars="200" w:firstLine="640"/>
        <w:rPr>
          <w:rFonts w:ascii="黑体" w:eastAsia="黑体" w:hAnsi="黑体" w:cs="黑体" w:hint="eastAsia"/>
          <w:sz w:val="32"/>
          <w:szCs w:val="32"/>
        </w:rPr>
      </w:pPr>
      <w:r w:rsidRPr="00794EDF">
        <w:rPr>
          <w:rFonts w:ascii="黑体" w:eastAsia="黑体" w:hAnsi="黑体" w:cs="黑体" w:hint="eastAsia"/>
          <w:sz w:val="32"/>
          <w:szCs w:val="32"/>
        </w:rPr>
        <w:t>三、加强措施保障，做好工作监管</w:t>
      </w:r>
    </w:p>
    <w:p w:rsidR="00B45D14" w:rsidRPr="00794EDF" w:rsidRDefault="00B45D14" w:rsidP="00B45D14">
      <w:pPr>
        <w:spacing w:line="590" w:lineRule="exact"/>
        <w:ind w:firstLineChars="200" w:firstLine="640"/>
        <w:rPr>
          <w:rFonts w:ascii="楷体_GB2312" w:eastAsia="楷体_GB2312" w:hAnsi="楷体" w:cs="楷体" w:hint="eastAsia"/>
          <w:color w:val="000000"/>
          <w:kern w:val="0"/>
          <w:sz w:val="32"/>
          <w:szCs w:val="32"/>
        </w:rPr>
      </w:pPr>
      <w:r w:rsidRPr="00794EDF">
        <w:rPr>
          <w:rFonts w:ascii="楷体_GB2312" w:eastAsia="楷体_GB2312" w:hAnsi="楷体" w:cs="楷体" w:hint="eastAsia"/>
          <w:color w:val="000000"/>
          <w:kern w:val="0"/>
          <w:sz w:val="32"/>
          <w:szCs w:val="32"/>
        </w:rPr>
        <w:lastRenderedPageBreak/>
        <w:t>（一）强化责任落实</w:t>
      </w:r>
    </w:p>
    <w:p w:rsidR="00B45D14" w:rsidRPr="00794EDF" w:rsidRDefault="00B45D14" w:rsidP="00B45D14">
      <w:pPr>
        <w:spacing w:line="565" w:lineRule="exact"/>
        <w:ind w:firstLineChars="200" w:firstLine="640"/>
        <w:rPr>
          <w:rFonts w:ascii="仿宋_GB2312" w:eastAsia="仿宋_GB2312" w:hAnsi="仿宋" w:cs="仿宋" w:hint="eastAsia"/>
          <w:color w:val="000000"/>
          <w:kern w:val="0"/>
          <w:sz w:val="32"/>
          <w:szCs w:val="32"/>
        </w:rPr>
      </w:pPr>
      <w:r w:rsidRPr="00794EDF">
        <w:rPr>
          <w:rFonts w:ascii="仿宋_GB2312" w:eastAsia="仿宋_GB2312" w:hAnsi="仿宋" w:cs="仿宋" w:hint="eastAsia"/>
          <w:color w:val="000000"/>
          <w:kern w:val="0"/>
          <w:sz w:val="32"/>
          <w:szCs w:val="32"/>
        </w:rPr>
        <w:t>组织开展2019年畜禽粪污资源化利用延伸绩效考核，全面总结各市工作成效，深入查找问题和不足，督促加快工作进度。会同生态环境部门开展规模养殖场畜禽粪污资源化利用日常监督检查，以大型规模养殖场为重点，通过现场核查和视频核查等方式，对畜牧大县和大型规模养殖场进行全覆盖检查，对不符合环保要求的大型规模养殖场，限期配套建设粪污处理设施。配合生态环境部门做好超划禁养区清理工作和环评告知承诺制改革。</w:t>
      </w:r>
    </w:p>
    <w:p w:rsidR="00B45D14" w:rsidRPr="00794EDF" w:rsidRDefault="00B45D14" w:rsidP="00B45D14">
      <w:pPr>
        <w:spacing w:line="565" w:lineRule="exact"/>
        <w:ind w:firstLineChars="200" w:firstLine="640"/>
        <w:rPr>
          <w:rFonts w:ascii="楷体_GB2312" w:eastAsia="楷体_GB2312" w:hAnsi="楷体" w:cs="楷体" w:hint="eastAsia"/>
          <w:color w:val="000000"/>
          <w:kern w:val="0"/>
          <w:sz w:val="32"/>
          <w:szCs w:val="32"/>
        </w:rPr>
      </w:pPr>
      <w:r w:rsidRPr="00794EDF">
        <w:rPr>
          <w:rFonts w:ascii="楷体_GB2312" w:eastAsia="楷体_GB2312" w:hAnsi="楷体" w:cs="楷体" w:hint="eastAsia"/>
          <w:color w:val="000000"/>
          <w:kern w:val="0"/>
          <w:sz w:val="32"/>
          <w:szCs w:val="32"/>
        </w:rPr>
        <w:t>（二）强化工作监管</w:t>
      </w:r>
    </w:p>
    <w:p w:rsidR="00B45D14" w:rsidRPr="00794EDF" w:rsidRDefault="00B45D14" w:rsidP="00B45D14">
      <w:pPr>
        <w:spacing w:line="565" w:lineRule="exact"/>
        <w:ind w:firstLineChars="200" w:firstLine="640"/>
        <w:rPr>
          <w:rFonts w:ascii="仿宋_GB2312" w:eastAsia="仿宋_GB2312" w:hAnsi="仿宋" w:cs="仿宋" w:hint="eastAsia"/>
          <w:color w:val="000000"/>
          <w:kern w:val="0"/>
          <w:sz w:val="32"/>
          <w:szCs w:val="32"/>
        </w:rPr>
      </w:pPr>
      <w:r w:rsidRPr="00794EDF">
        <w:rPr>
          <w:rFonts w:ascii="仿宋_GB2312" w:eastAsia="仿宋_GB2312" w:hAnsi="仿宋" w:cs="仿宋" w:hint="eastAsia"/>
          <w:color w:val="000000"/>
          <w:kern w:val="0"/>
          <w:sz w:val="32"/>
          <w:szCs w:val="32"/>
        </w:rPr>
        <w:t>按照农业农村部要求，落实大型规模养殖场畜禽粪污资源化利用信息公开制度。积极配合做好农业农村部第三方评估和畜禽粪污资源化利用情况实地核查工作。配合各级河长制办公室和生态环境部门做好各项重点任务进展情况调度工作。</w:t>
      </w:r>
    </w:p>
    <w:p w:rsidR="00B45D14" w:rsidRPr="00794EDF" w:rsidRDefault="00B45D14" w:rsidP="00B45D14">
      <w:pPr>
        <w:pStyle w:val="Char4"/>
        <w:spacing w:line="565" w:lineRule="exact"/>
        <w:ind w:firstLineChars="200" w:firstLine="640"/>
        <w:rPr>
          <w:rFonts w:ascii="楷体_GB2312" w:eastAsia="楷体_GB2312" w:hAnsi="楷体" w:cs="楷体" w:hint="eastAsia"/>
          <w:sz w:val="32"/>
          <w:szCs w:val="32"/>
        </w:rPr>
      </w:pPr>
      <w:r w:rsidRPr="00794EDF">
        <w:rPr>
          <w:rFonts w:ascii="楷体_GB2312" w:eastAsia="楷体_GB2312" w:hAnsi="楷体" w:cs="楷体" w:hint="eastAsia"/>
          <w:sz w:val="32"/>
          <w:szCs w:val="32"/>
        </w:rPr>
        <w:t>（三）强化项目管理</w:t>
      </w:r>
    </w:p>
    <w:p w:rsidR="00B45D14" w:rsidRPr="00794EDF" w:rsidRDefault="00B45D14" w:rsidP="00B45D14">
      <w:pPr>
        <w:spacing w:line="565" w:lineRule="exact"/>
        <w:ind w:firstLineChars="200" w:firstLine="640"/>
        <w:rPr>
          <w:rFonts w:ascii="仿宋_GB2312" w:eastAsia="仿宋_GB2312" w:hAnsi="仿宋" w:cs="仿宋" w:hint="eastAsia"/>
          <w:sz w:val="32"/>
          <w:szCs w:val="32"/>
        </w:rPr>
      </w:pPr>
      <w:r w:rsidRPr="00794EDF">
        <w:rPr>
          <w:rFonts w:ascii="仿宋_GB2312" w:eastAsia="仿宋_GB2312" w:hAnsi="仿宋" w:cs="仿宋" w:hint="eastAsia"/>
          <w:color w:val="000000"/>
          <w:kern w:val="0"/>
          <w:sz w:val="32"/>
          <w:szCs w:val="32"/>
        </w:rPr>
        <w:t>各市、县要对中央和省级投资扶持的</w:t>
      </w:r>
      <w:r w:rsidRPr="00794EDF">
        <w:rPr>
          <w:rFonts w:ascii="仿宋_GB2312" w:eastAsia="仿宋_GB2312" w:hAnsi="仿宋" w:cs="仿宋" w:hint="eastAsia"/>
          <w:sz w:val="32"/>
          <w:szCs w:val="32"/>
        </w:rPr>
        <w:t>规模养殖场粪污处理设施建设项目加强跟踪监管。</w:t>
      </w:r>
      <w:r w:rsidRPr="00794EDF">
        <w:rPr>
          <w:rFonts w:ascii="仿宋_GB2312" w:eastAsia="仿宋_GB2312" w:hAnsi="仿宋" w:cs="仿宋" w:hint="eastAsia"/>
          <w:color w:val="000000"/>
          <w:kern w:val="0"/>
          <w:sz w:val="32"/>
          <w:szCs w:val="32"/>
        </w:rPr>
        <w:t>做好项目前期申报审批、中期建设实施、后期检查验收和绩效评价等各环节的监督检查，不断完善管理制度、规范项目执行程序、创新监管方式，及时发现和纠正存在问题，</w:t>
      </w:r>
      <w:r w:rsidRPr="00794EDF">
        <w:rPr>
          <w:rFonts w:ascii="仿宋_GB2312" w:eastAsia="仿宋_GB2312" w:hAnsi="仿宋" w:cs="仿宋" w:hint="eastAsia"/>
          <w:sz w:val="32"/>
          <w:szCs w:val="32"/>
        </w:rPr>
        <w:t>确保项目建设成效</w:t>
      </w:r>
      <w:r w:rsidRPr="00794EDF">
        <w:rPr>
          <w:rFonts w:ascii="仿宋_GB2312" w:eastAsia="仿宋_GB2312" w:hAnsi="仿宋" w:cs="仿宋" w:hint="eastAsia"/>
          <w:color w:val="000000"/>
          <w:kern w:val="0"/>
          <w:sz w:val="32"/>
          <w:szCs w:val="32"/>
        </w:rPr>
        <w:t>。</w:t>
      </w:r>
      <w:r w:rsidRPr="00794EDF">
        <w:rPr>
          <w:rFonts w:ascii="仿宋_GB2312" w:eastAsia="仿宋_GB2312" w:hAnsi="仿宋" w:cs="仿宋" w:hint="eastAsia"/>
          <w:sz w:val="32"/>
          <w:szCs w:val="32"/>
        </w:rPr>
        <w:t>要按照《农业农村部办公厅关于做好畜禽粪污资源化利用跟踪监测工作的通知》（农办牧〔2018〕28号）要求，及时完成农业农村部畜禽养殖场直联直报信息系统的项目计划和进度信息填</w:t>
      </w:r>
      <w:r w:rsidRPr="00794EDF">
        <w:rPr>
          <w:rFonts w:ascii="仿宋_GB2312" w:eastAsia="仿宋_GB2312" w:hAnsi="仿宋" w:cs="仿宋" w:hint="eastAsia"/>
          <w:sz w:val="32"/>
          <w:szCs w:val="32"/>
        </w:rPr>
        <w:lastRenderedPageBreak/>
        <w:t>报工作。</w:t>
      </w:r>
    </w:p>
    <w:p w:rsidR="00B45D14" w:rsidRPr="00794EDF" w:rsidRDefault="00B45D14" w:rsidP="00B45D14">
      <w:pPr>
        <w:pStyle w:val="ac"/>
        <w:spacing w:line="565" w:lineRule="exact"/>
        <w:ind w:left="5250"/>
        <w:rPr>
          <w:rFonts w:ascii="仿宋_GB2312" w:eastAsia="仿宋_GB2312" w:hint="eastAsia"/>
          <w:sz w:val="32"/>
          <w:szCs w:val="32"/>
        </w:rPr>
      </w:pPr>
    </w:p>
    <w:p w:rsidR="00B45D14" w:rsidRPr="00B45D14" w:rsidRDefault="00B45D14" w:rsidP="00B45D14">
      <w:pPr>
        <w:pStyle w:val="ac"/>
        <w:spacing w:line="565" w:lineRule="exact"/>
        <w:ind w:leftChars="0" w:left="0"/>
        <w:jc w:val="left"/>
        <w:rPr>
          <w:rFonts w:ascii="仿宋_GB2312" w:eastAsia="仿宋_GB2312" w:hAnsi="仿宋" w:cs="仿宋" w:hint="eastAsia"/>
          <w:color w:val="000000"/>
          <w:kern w:val="0"/>
          <w:sz w:val="32"/>
          <w:szCs w:val="32"/>
        </w:rPr>
      </w:pPr>
      <w:r w:rsidRPr="00B45D14">
        <w:rPr>
          <w:rFonts w:ascii="仿宋_GB2312" w:eastAsia="仿宋_GB2312" w:hAnsi="仿宋" w:cs="仿宋" w:hint="eastAsia"/>
          <w:color w:val="000000"/>
          <w:kern w:val="0"/>
          <w:sz w:val="32"/>
          <w:szCs w:val="32"/>
        </w:rPr>
        <w:t>附表：2020年全省11市117县区畜禽粪污资源化利用目标任务分解表</w:t>
      </w:r>
    </w:p>
    <w:p w:rsidR="00B45D14" w:rsidRPr="00681F09" w:rsidRDefault="00B45D14" w:rsidP="00B45D14">
      <w:pPr>
        <w:pStyle w:val="ac"/>
        <w:spacing w:line="590" w:lineRule="exact"/>
        <w:ind w:leftChars="0" w:left="0"/>
        <w:rPr>
          <w:rFonts w:ascii="黑体" w:eastAsia="黑体" w:hAnsi="黑体" w:hint="eastAsia"/>
          <w:sz w:val="32"/>
          <w:szCs w:val="32"/>
        </w:rPr>
      </w:pPr>
      <w:r w:rsidRPr="00B45D14">
        <w:rPr>
          <w:rFonts w:ascii="仿宋_GB2312" w:eastAsia="仿宋_GB2312" w:hAnsi="仿宋" w:cs="仿宋" w:hint="eastAsia"/>
          <w:color w:val="000000"/>
          <w:kern w:val="0"/>
          <w:sz w:val="32"/>
          <w:szCs w:val="32"/>
        </w:rPr>
        <w:br w:type="page"/>
      </w:r>
      <w:r w:rsidRPr="00681F09">
        <w:rPr>
          <w:rFonts w:ascii="黑体" w:eastAsia="黑体" w:hAnsi="黑体" w:hint="eastAsia"/>
          <w:sz w:val="32"/>
          <w:szCs w:val="32"/>
        </w:rPr>
        <w:lastRenderedPageBreak/>
        <w:t>附表</w:t>
      </w:r>
    </w:p>
    <w:p w:rsidR="00B45D14" w:rsidRDefault="00B45D14" w:rsidP="00B45D14">
      <w:pPr>
        <w:widowControl/>
        <w:spacing w:beforeLines="100" w:line="590" w:lineRule="exact"/>
        <w:jc w:val="center"/>
        <w:textAlignment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2020年全省11市117县（市、区）畜禽粪污</w:t>
      </w:r>
    </w:p>
    <w:p w:rsidR="00B45D14" w:rsidRPr="00794EDF" w:rsidRDefault="00B45D14" w:rsidP="00B45D14">
      <w:pPr>
        <w:pStyle w:val="ac"/>
        <w:spacing w:afterLines="150" w:line="590" w:lineRule="exact"/>
        <w:ind w:leftChars="0" w:left="0"/>
        <w:jc w:val="center"/>
        <w:rPr>
          <w:rFonts w:eastAsia="仿宋" w:hint="eastAsia"/>
        </w:rPr>
      </w:pPr>
      <w:r>
        <w:rPr>
          <w:rFonts w:ascii="方正小标宋简体" w:eastAsia="方正小标宋简体" w:hAnsi="方正小标宋简体" w:cs="方正小标宋简体" w:hint="eastAsia"/>
          <w:sz w:val="44"/>
          <w:szCs w:val="44"/>
        </w:rPr>
        <w:t>资源化利用目标任务分解表</w:t>
      </w:r>
    </w:p>
    <w:tbl>
      <w:tblPr>
        <w:tblW w:w="9260" w:type="dxa"/>
        <w:jc w:val="center"/>
        <w:tblLayout w:type="fixed"/>
        <w:tblCellMar>
          <w:left w:w="0" w:type="dxa"/>
          <w:right w:w="0" w:type="dxa"/>
        </w:tblCellMar>
        <w:tblLook w:val="0000"/>
      </w:tblPr>
      <w:tblGrid>
        <w:gridCol w:w="615"/>
        <w:gridCol w:w="761"/>
        <w:gridCol w:w="1164"/>
        <w:gridCol w:w="1305"/>
        <w:gridCol w:w="1260"/>
        <w:gridCol w:w="1170"/>
        <w:gridCol w:w="1170"/>
        <w:gridCol w:w="1815"/>
      </w:tblGrid>
      <w:tr w:rsidR="00B45D14" w:rsidTr="00E01D45">
        <w:trPr>
          <w:trHeight w:val="1503"/>
          <w:tblHeader/>
          <w:jc w:val="center"/>
        </w:trPr>
        <w:tc>
          <w:tcPr>
            <w:tcW w:w="6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序号</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市</w:t>
            </w:r>
          </w:p>
        </w:tc>
        <w:tc>
          <w:tcPr>
            <w:tcW w:w="116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县</w:t>
            </w:r>
            <w:r w:rsidRPr="00794EDF">
              <w:rPr>
                <w:rFonts w:ascii="宋体" w:hAnsi="宋体" w:cs="宋体" w:hint="eastAsia"/>
                <w:b/>
                <w:color w:val="000000"/>
                <w:kern w:val="0"/>
                <w:sz w:val="20"/>
                <w:lang/>
              </w:rPr>
              <w:br/>
              <w:t>（市、区）</w:t>
            </w:r>
          </w:p>
        </w:tc>
        <w:tc>
          <w:tcPr>
            <w:tcW w:w="13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规模养殖场粪污处理设施装备配套数量（个）</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规模养殖场</w:t>
            </w:r>
            <w:r w:rsidRPr="00794EDF">
              <w:rPr>
                <w:rFonts w:ascii="宋体" w:hAnsi="宋体" w:cs="宋体" w:hint="eastAsia"/>
                <w:b/>
                <w:color w:val="000000"/>
                <w:kern w:val="0"/>
                <w:sz w:val="20"/>
                <w:lang/>
              </w:rPr>
              <w:br/>
              <w:t>粪污处理</w:t>
            </w:r>
            <w:r w:rsidRPr="00794EDF">
              <w:rPr>
                <w:rFonts w:ascii="宋体" w:hAnsi="宋体" w:cs="宋体" w:hint="eastAsia"/>
                <w:b/>
                <w:color w:val="000000"/>
                <w:kern w:val="0"/>
                <w:sz w:val="20"/>
                <w:lang/>
              </w:rPr>
              <w:br/>
              <w:t>设施装备</w:t>
            </w:r>
            <w:r w:rsidRPr="00794EDF">
              <w:rPr>
                <w:rFonts w:ascii="宋体" w:hAnsi="宋体" w:cs="宋体" w:hint="eastAsia"/>
                <w:b/>
                <w:color w:val="000000"/>
                <w:kern w:val="0"/>
                <w:sz w:val="20"/>
                <w:lang/>
              </w:rPr>
              <w:br/>
              <w:t>配套率</w:t>
            </w:r>
            <w:r w:rsidRPr="00794EDF">
              <w:rPr>
                <w:rFonts w:ascii="宋体" w:hAnsi="宋体" w:cs="宋体" w:hint="eastAsia"/>
                <w:b/>
                <w:color w:val="000000"/>
                <w:kern w:val="0"/>
                <w:sz w:val="20"/>
                <w:lang/>
              </w:rPr>
              <w:b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大型规模养殖场粪污处理设施装备配套率（%）</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畜禽粪污</w:t>
            </w:r>
            <w:r w:rsidRPr="00794EDF">
              <w:rPr>
                <w:rFonts w:ascii="宋体" w:hAnsi="宋体" w:cs="宋体" w:hint="eastAsia"/>
                <w:b/>
                <w:color w:val="000000"/>
                <w:kern w:val="0"/>
                <w:sz w:val="20"/>
                <w:lang/>
              </w:rPr>
              <w:br/>
              <w:t>综合利用率（%）</w:t>
            </w:r>
          </w:p>
        </w:tc>
        <w:tc>
          <w:tcPr>
            <w:tcW w:w="18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kern w:val="0"/>
                <w:sz w:val="20"/>
                <w:lang/>
              </w:rPr>
            </w:pPr>
            <w:r w:rsidRPr="00794EDF">
              <w:rPr>
                <w:rFonts w:ascii="宋体" w:hAnsi="宋体" w:cs="宋体" w:hint="eastAsia"/>
                <w:b/>
                <w:color w:val="000000"/>
                <w:kern w:val="0"/>
                <w:sz w:val="20"/>
                <w:lang/>
              </w:rPr>
              <w:t>所属流域</w:t>
            </w:r>
          </w:p>
        </w:tc>
      </w:tr>
      <w:tr w:rsidR="00B45D14" w:rsidTr="00E01D45">
        <w:trPr>
          <w:trHeight w:val="360"/>
          <w:jc w:val="center"/>
        </w:trPr>
        <w:tc>
          <w:tcPr>
            <w:tcW w:w="6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b/>
                <w:color w:val="000000"/>
                <w:sz w:val="20"/>
              </w:rPr>
            </w:pPr>
          </w:p>
        </w:tc>
        <w:tc>
          <w:tcPr>
            <w:tcW w:w="76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全省</w:t>
            </w:r>
          </w:p>
        </w:tc>
        <w:tc>
          <w:tcPr>
            <w:tcW w:w="116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763</w:t>
            </w:r>
          </w:p>
        </w:tc>
        <w:tc>
          <w:tcPr>
            <w:tcW w:w="126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color w:val="000000"/>
                <w:kern w:val="0"/>
                <w:sz w:val="20"/>
                <w:lang/>
              </w:rPr>
              <w:t>100%</w:t>
            </w:r>
          </w:p>
        </w:tc>
        <w:tc>
          <w:tcPr>
            <w:tcW w:w="11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b/>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b/>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13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尖草坪区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迎泽区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杏花岭区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万柏林区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小店区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汾河、潇河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晋源区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娄烦县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古交市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阳曲县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太原市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清徐县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汾河、潇河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42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sz w:val="20"/>
              </w:rPr>
            </w:pPr>
            <w:r w:rsidRPr="00794EDF">
              <w:rPr>
                <w:rFonts w:ascii="宋体" w:hAnsi="宋体" w:cs="宋体" w:hint="eastAsia"/>
                <w:b/>
                <w:bCs/>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83"/>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平城区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桑干河、御河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云冈区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桑干河、御河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新荣区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桑干河、御河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云州区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桑干河、御河</w:t>
            </w:r>
          </w:p>
        </w:tc>
      </w:tr>
      <w:tr w:rsidR="00B45D14" w:rsidTr="00E01D45">
        <w:trPr>
          <w:trHeight w:val="37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浑源县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桑干河、唐河、沙河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左云县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桑干河、御河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阳高县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御河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广灵县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桑干河、沙河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灵丘县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唐河、沙河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20</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大同市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天镇县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城区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矿区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郊区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平定县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阳泉市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盂县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72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408"/>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潞州区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上党区</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潞城区</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屯留区</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长子县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壶关县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平顺县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黎城县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武乡县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襄垣县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长治市</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沁源县</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48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城区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沁水县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阳城县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高平市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泽州县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陵川县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120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sz w:val="20"/>
              </w:rPr>
            </w:pPr>
            <w:r w:rsidRPr="00794EDF">
              <w:rPr>
                <w:rFonts w:ascii="宋体" w:hAnsi="宋体" w:cs="宋体" w:hint="eastAsia"/>
                <w:b/>
                <w:bCs/>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朔城区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45</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平鲁区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山阴县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应县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lastRenderedPageBreak/>
              <w:t>48</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右玉县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朔州市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怀仁市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桑干河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105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榆次区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汾河、潇河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太谷区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和顺县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寿阳县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汾河、潇河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祁县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平遥县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介休市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灵石县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榆社县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昔阳县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汾河、漳河、潇河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60</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晋中市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左权县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漳河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65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sz w:val="20"/>
              </w:rPr>
            </w:pPr>
            <w:r w:rsidRPr="00794EDF">
              <w:rPr>
                <w:rFonts w:ascii="宋体" w:hAnsi="宋体" w:cs="宋体" w:hint="eastAsia"/>
                <w:b/>
                <w:bCs/>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盐湖区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涑水河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新绛县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绛县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稷山县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河津市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万荣县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闻喜县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汾河、涑水河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临猗县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黄河、涑水河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永济市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黄河、涑水河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芮城县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平陆县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夏县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黄河、涑水河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运城市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垣曲县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sz w:val="20"/>
              </w:rPr>
            </w:pPr>
            <w:r w:rsidRPr="00794EDF">
              <w:rPr>
                <w:rFonts w:ascii="宋体" w:hAnsi="宋体" w:cs="宋体" w:hint="eastAsia"/>
                <w:b/>
                <w:bCs/>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忻府区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定襄县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五台县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lastRenderedPageBreak/>
              <w:t>77</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代县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繁峙县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滹沱河、沙河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宁武县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静乐县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81</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神池县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82</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五寨县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83</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岢岚县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河曲县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保德县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偏关县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忻州市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原平市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滹沱河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bCs/>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88</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隰县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89</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蒲县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汾西县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霍州市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洪洞县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古县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尧都区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浮山县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乡宁县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襄汾县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翼城县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侯马市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曲沃县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安泽县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沁河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永和县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6</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大宁县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临汾市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吉县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合计</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108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color w:val="000000"/>
                <w:sz w:val="20"/>
              </w:rPr>
            </w:pPr>
            <w:r w:rsidRPr="00794EDF">
              <w:rPr>
                <w:rFonts w:ascii="宋体" w:hAnsi="宋体" w:cs="宋体" w:hint="eastAsia"/>
                <w:b/>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kern w:val="0"/>
                <w:sz w:val="20"/>
                <w:lang/>
              </w:rPr>
            </w:pPr>
            <w:r w:rsidRPr="00794EDF">
              <w:rPr>
                <w:rFonts w:ascii="宋体" w:hAnsi="宋体" w:cs="宋体" w:hint="eastAsia"/>
                <w:b/>
                <w:bCs/>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b/>
                <w:sz w:val="20"/>
              </w:rPr>
            </w:pPr>
            <w:r w:rsidRPr="00794EDF">
              <w:rPr>
                <w:rFonts w:ascii="宋体" w:hAnsi="宋体" w:cs="宋体" w:hint="eastAsia"/>
                <w:b/>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105</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离石区</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106</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中阳县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lastRenderedPageBreak/>
              <w:t>107</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方山县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jc w:val="center"/>
              <w:rPr>
                <w:rFonts w:ascii="宋体" w:hAnsi="宋体" w:cs="宋体" w:hint="eastAsia"/>
                <w:color w:val="000000"/>
                <w:sz w:val="20"/>
              </w:rPr>
            </w:pP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108</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岚县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7</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109</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交城县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110</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文水县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111</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汾阳市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12</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112</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孝义市</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4</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113</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交口县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85%以上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汾河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114</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兴县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0</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115</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临县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15</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6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116</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柳林县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18</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r w:rsidR="00B45D14" w:rsidTr="00E01D45">
        <w:trPr>
          <w:trHeight w:val="37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117</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吕梁市</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石楼县</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23</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95%以上</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kern w:val="0"/>
                <w:sz w:val="20"/>
                <w:lang/>
              </w:rPr>
            </w:pPr>
            <w:r w:rsidRPr="00794EDF">
              <w:rPr>
                <w:rFonts w:ascii="宋体" w:hAnsi="宋体" w:cs="宋体" w:hint="eastAsia"/>
                <w:color w:val="000000"/>
                <w:kern w:val="0"/>
                <w:sz w:val="20"/>
                <w:lang/>
              </w:rPr>
              <w:t>100%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sz w:val="20"/>
              </w:rPr>
            </w:pPr>
            <w:r w:rsidRPr="00794EDF">
              <w:rPr>
                <w:rFonts w:ascii="宋体" w:hAnsi="宋体" w:cs="宋体" w:hint="eastAsia"/>
                <w:kern w:val="0"/>
                <w:sz w:val="20"/>
                <w:lang/>
              </w:rPr>
              <w:t>77%以上</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D14" w:rsidRPr="00794EDF" w:rsidRDefault="00B45D14" w:rsidP="00E01D45">
            <w:pPr>
              <w:widowControl/>
              <w:jc w:val="center"/>
              <w:textAlignment w:val="center"/>
              <w:rPr>
                <w:rFonts w:ascii="宋体" w:hAnsi="宋体" w:cs="宋体" w:hint="eastAsia"/>
                <w:color w:val="000000"/>
                <w:sz w:val="20"/>
              </w:rPr>
            </w:pPr>
            <w:r w:rsidRPr="00794EDF">
              <w:rPr>
                <w:rFonts w:ascii="宋体" w:hAnsi="宋体" w:cs="宋体" w:hint="eastAsia"/>
                <w:color w:val="000000"/>
                <w:kern w:val="0"/>
                <w:sz w:val="20"/>
                <w:lang/>
              </w:rPr>
              <w:t>黄河</w:t>
            </w:r>
          </w:p>
        </w:tc>
      </w:tr>
    </w:tbl>
    <w:p w:rsidR="00146A7C" w:rsidRDefault="00B45D14"/>
    <w:sectPr w:rsidR="00146A7C" w:rsidSect="001438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7C06"/>
    <w:multiLevelType w:val="multilevel"/>
    <w:tmpl w:val="5F5F7C06"/>
    <w:lvl w:ilvl="0">
      <w:start w:val="1"/>
      <w:numFmt w:val="ideographDigital"/>
      <w:suff w:val="space"/>
      <w:lvlText w:val="第%1章"/>
      <w:lvlJc w:val="left"/>
      <w:pPr>
        <w:ind w:left="425" w:hanging="425"/>
      </w:pPr>
      <w:rPr>
        <w:rFonts w:ascii="黑体" w:eastAsia="黑体" w:hAnsi="黑体" w:hint="eastAsia"/>
        <w:b w:val="0"/>
        <w:sz w:val="36"/>
        <w:szCs w:val="36"/>
      </w:rPr>
    </w:lvl>
    <w:lvl w:ilvl="1">
      <w:start w:val="1"/>
      <w:numFmt w:val="decimal"/>
      <w:isLgl/>
      <w:suff w:val="space"/>
      <w:lvlText w:val="%1.%2"/>
      <w:lvlJc w:val="left"/>
      <w:pPr>
        <w:ind w:left="567" w:hanging="567"/>
      </w:pPr>
      <w:rPr>
        <w:rFonts w:hint="eastAsia"/>
        <w:b w:val="0"/>
      </w:rPr>
    </w:lvl>
    <w:lvl w:ilvl="2">
      <w:start w:val="1"/>
      <w:numFmt w:val="decimal"/>
      <w:isLgl/>
      <w:suff w:val="space"/>
      <w:lvlText w:val="%1.%2.%3"/>
      <w:lvlJc w:val="left"/>
      <w:pPr>
        <w:ind w:left="1429" w:hanging="137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30"/>
        <w:szCs w:val="30"/>
        <w:u w:val="none"/>
        <w:vertAlign w:val="baseline"/>
        <w:em w:val="none"/>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isLgl/>
      <w:suff w:val="space"/>
      <w:lvlText w:val="%1.%2.%3.%4.%5.%6"/>
      <w:lvlJc w:val="left"/>
      <w:pPr>
        <w:ind w:left="1134" w:hanging="1134"/>
      </w:pPr>
      <w:rPr>
        <w:rFonts w:hint="eastAsia"/>
      </w:rPr>
    </w:lvl>
    <w:lvl w:ilvl="6">
      <w:start w:val="1"/>
      <w:numFmt w:val="decimal"/>
      <w:isLgl/>
      <w:suff w:val="space"/>
      <w:lvlText w:val="%1.%2.%3.%4.%5.%6.%7"/>
      <w:lvlJc w:val="left"/>
      <w:pPr>
        <w:ind w:left="1276" w:hanging="1276"/>
      </w:pPr>
      <w:rPr>
        <w:rFonts w:hint="eastAsia"/>
      </w:rPr>
    </w:lvl>
    <w:lvl w:ilvl="7">
      <w:start w:val="1"/>
      <w:numFmt w:val="decimal"/>
      <w:isLgl/>
      <w:suff w:val="space"/>
      <w:lvlText w:val="%1.%2.%3.%4.%5.%6.%7.%8"/>
      <w:lvlJc w:val="left"/>
      <w:pPr>
        <w:ind w:left="1418" w:hanging="1418"/>
      </w:pPr>
      <w:rPr>
        <w:rFonts w:hint="eastAsia"/>
      </w:rPr>
    </w:lvl>
    <w:lvl w:ilvl="8">
      <w:start w:val="1"/>
      <w:numFmt w:val="decimal"/>
      <w:isLgl/>
      <w:suff w:val="space"/>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D14"/>
    <w:rsid w:val="001438E4"/>
    <w:rsid w:val="004F7115"/>
    <w:rsid w:val="00782F77"/>
    <w:rsid w:val="00B45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able of authorities"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14"/>
    <w:pPr>
      <w:widowControl w:val="0"/>
      <w:jc w:val="both"/>
    </w:pPr>
    <w:rPr>
      <w:rFonts w:ascii="Times New Roman" w:eastAsia="宋体" w:hAnsi="Times New Roman" w:cs="Times New Roman"/>
      <w:szCs w:val="20"/>
    </w:rPr>
  </w:style>
  <w:style w:type="paragraph" w:styleId="1">
    <w:name w:val="heading 1"/>
    <w:basedOn w:val="a"/>
    <w:link w:val="1Char"/>
    <w:qFormat/>
    <w:rsid w:val="00B45D14"/>
    <w:pPr>
      <w:widowControl/>
      <w:spacing w:before="100" w:beforeAutospacing="1" w:after="100" w:afterAutospacing="1"/>
      <w:jc w:val="left"/>
      <w:outlineLvl w:val="0"/>
    </w:pPr>
    <w:rPr>
      <w:rFonts w:ascii="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B45D14"/>
    <w:rPr>
      <w:rFonts w:ascii="宋体" w:eastAsia="宋体" w:hAnsi="宋体" w:cs="宋体"/>
      <w:kern w:val="36"/>
      <w:sz w:val="24"/>
      <w:szCs w:val="24"/>
    </w:rPr>
  </w:style>
  <w:style w:type="character" w:styleId="a3">
    <w:name w:val="Strong"/>
    <w:qFormat/>
    <w:rsid w:val="00B45D14"/>
    <w:rPr>
      <w:b/>
      <w:bCs/>
    </w:rPr>
  </w:style>
  <w:style w:type="character" w:styleId="a4">
    <w:name w:val="page number"/>
    <w:basedOn w:val="a0"/>
    <w:rsid w:val="00B45D14"/>
  </w:style>
  <w:style w:type="paragraph" w:styleId="a5">
    <w:name w:val="Body Text"/>
    <w:basedOn w:val="a"/>
    <w:link w:val="Char"/>
    <w:rsid w:val="00B45D14"/>
    <w:pPr>
      <w:widowControl/>
      <w:spacing w:before="100" w:beforeAutospacing="1" w:after="100" w:afterAutospacing="1"/>
      <w:jc w:val="left"/>
    </w:pPr>
    <w:rPr>
      <w:rFonts w:ascii="宋体" w:hAnsi="宋体"/>
      <w:sz w:val="24"/>
      <w:szCs w:val="24"/>
    </w:rPr>
  </w:style>
  <w:style w:type="character" w:customStyle="1" w:styleId="Char">
    <w:name w:val="正文文本 Char"/>
    <w:basedOn w:val="a0"/>
    <w:link w:val="a5"/>
    <w:rsid w:val="00B45D14"/>
    <w:rPr>
      <w:rFonts w:ascii="宋体" w:eastAsia="宋体" w:hAnsi="宋体" w:cs="Times New Roman"/>
      <w:sz w:val="24"/>
      <w:szCs w:val="24"/>
    </w:rPr>
  </w:style>
  <w:style w:type="paragraph" w:styleId="a6">
    <w:name w:val="Balloon Text"/>
    <w:basedOn w:val="a"/>
    <w:link w:val="Char0"/>
    <w:semiHidden/>
    <w:rsid w:val="00B45D14"/>
    <w:rPr>
      <w:sz w:val="18"/>
      <w:szCs w:val="18"/>
    </w:rPr>
  </w:style>
  <w:style w:type="character" w:customStyle="1" w:styleId="Char0">
    <w:name w:val="批注框文本 Char"/>
    <w:basedOn w:val="a0"/>
    <w:link w:val="a6"/>
    <w:semiHidden/>
    <w:rsid w:val="00B45D14"/>
    <w:rPr>
      <w:rFonts w:ascii="Times New Roman" w:eastAsia="宋体" w:hAnsi="Times New Roman" w:cs="Times New Roman"/>
      <w:sz w:val="18"/>
      <w:szCs w:val="18"/>
    </w:rPr>
  </w:style>
  <w:style w:type="paragraph" w:styleId="a7">
    <w:name w:val="header"/>
    <w:basedOn w:val="a"/>
    <w:link w:val="Char1"/>
    <w:rsid w:val="00B45D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7"/>
    <w:rsid w:val="00B45D14"/>
    <w:rPr>
      <w:rFonts w:ascii="Times New Roman" w:eastAsia="宋体" w:hAnsi="Times New Roman" w:cs="Times New Roman"/>
      <w:sz w:val="18"/>
      <w:szCs w:val="20"/>
    </w:rPr>
  </w:style>
  <w:style w:type="paragraph" w:styleId="a8">
    <w:name w:val="Normal (Web)"/>
    <w:basedOn w:val="a"/>
    <w:rsid w:val="00B45D14"/>
    <w:pPr>
      <w:widowControl/>
      <w:spacing w:before="100" w:beforeAutospacing="1" w:after="100" w:afterAutospacing="1"/>
      <w:jc w:val="left"/>
    </w:pPr>
    <w:rPr>
      <w:rFonts w:ascii="宋体" w:hAnsi="宋体" w:cs="宋体"/>
      <w:kern w:val="0"/>
      <w:sz w:val="24"/>
    </w:rPr>
  </w:style>
  <w:style w:type="paragraph" w:styleId="a9">
    <w:name w:val="footer"/>
    <w:basedOn w:val="a"/>
    <w:link w:val="Char2"/>
    <w:rsid w:val="00B45D14"/>
    <w:pPr>
      <w:tabs>
        <w:tab w:val="center" w:pos="4153"/>
        <w:tab w:val="right" w:pos="8306"/>
      </w:tabs>
      <w:snapToGrid w:val="0"/>
      <w:jc w:val="left"/>
    </w:pPr>
    <w:rPr>
      <w:sz w:val="18"/>
    </w:rPr>
  </w:style>
  <w:style w:type="character" w:customStyle="1" w:styleId="Char2">
    <w:name w:val="页脚 Char"/>
    <w:basedOn w:val="a0"/>
    <w:link w:val="a9"/>
    <w:rsid w:val="00B45D14"/>
    <w:rPr>
      <w:rFonts w:ascii="Times New Roman" w:eastAsia="宋体" w:hAnsi="Times New Roman" w:cs="Times New Roman"/>
      <w:sz w:val="18"/>
      <w:szCs w:val="20"/>
    </w:rPr>
  </w:style>
  <w:style w:type="paragraph" w:customStyle="1" w:styleId="CharCharCharChar1CharCharCharCharCharCharCharCharCharCharCharCharCharCharCharCharChar">
    <w:name w:val=" Char Char Char Char1 Char Char Char Char Char Char Char Char Char Char Char Char Char Char Char Char Char"/>
    <w:basedOn w:val="a"/>
    <w:rsid w:val="00B45D14"/>
    <w:pPr>
      <w:widowControl/>
      <w:spacing w:after="160" w:line="240" w:lineRule="exact"/>
      <w:jc w:val="left"/>
    </w:pPr>
  </w:style>
  <w:style w:type="paragraph" w:customStyle="1" w:styleId="CharCharCharChar1CharCharCharCharCharCharCharCharCharCharCharCharCharCharCharCharChar0">
    <w:name w:val="Char Char Char Char1 Char Char Char Char Char Char Char Char Char Char Char Char Char Char Char Char Char"/>
    <w:basedOn w:val="a"/>
    <w:rsid w:val="00B45D14"/>
    <w:pPr>
      <w:widowControl/>
      <w:spacing w:after="160" w:line="240" w:lineRule="exact"/>
      <w:jc w:val="left"/>
    </w:pPr>
  </w:style>
  <w:style w:type="paragraph" w:customStyle="1" w:styleId="p0">
    <w:name w:val="p0"/>
    <w:basedOn w:val="a"/>
    <w:rsid w:val="00B45D14"/>
    <w:pPr>
      <w:widowControl/>
    </w:pPr>
    <w:rPr>
      <w:kern w:val="0"/>
      <w:szCs w:val="21"/>
    </w:rPr>
  </w:style>
  <w:style w:type="paragraph" w:customStyle="1" w:styleId="Style26">
    <w:name w:val="_Style 26"/>
    <w:basedOn w:val="a"/>
    <w:rsid w:val="00B45D14"/>
    <w:pPr>
      <w:widowControl/>
      <w:spacing w:after="160" w:line="240" w:lineRule="exact"/>
      <w:jc w:val="left"/>
    </w:pPr>
    <w:rPr>
      <w:rFonts w:ascii="Calibri" w:hAnsi="Calibri"/>
      <w:szCs w:val="22"/>
    </w:rPr>
  </w:style>
  <w:style w:type="paragraph" w:customStyle="1" w:styleId="Char1CharCharCharCharCharCharCharCharChar">
    <w:name w:val=" Char1 Char Char Char Char Char Char Char Char Char"/>
    <w:basedOn w:val="a"/>
    <w:rsid w:val="00B45D14"/>
    <w:pPr>
      <w:widowControl/>
      <w:spacing w:after="160" w:line="240" w:lineRule="exact"/>
      <w:jc w:val="left"/>
    </w:pPr>
    <w:rPr>
      <w:rFonts w:ascii="Verdana" w:hAnsi="Verdana"/>
      <w:sz w:val="24"/>
      <w:szCs w:val="24"/>
      <w:lang w:eastAsia="en-US"/>
    </w:rPr>
  </w:style>
  <w:style w:type="paragraph" w:customStyle="1" w:styleId="CharCharChar">
    <w:name w:val="Char Char Char"/>
    <w:basedOn w:val="a"/>
    <w:rsid w:val="00B45D14"/>
    <w:pPr>
      <w:widowControl/>
      <w:spacing w:after="20"/>
      <w:jc w:val="left"/>
    </w:pPr>
    <w:rPr>
      <w:szCs w:val="24"/>
    </w:rPr>
  </w:style>
  <w:style w:type="table" w:styleId="aa">
    <w:name w:val="Table Grid"/>
    <w:basedOn w:val="a1"/>
    <w:rsid w:val="00B45D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纯文本 Char"/>
    <w:basedOn w:val="a0"/>
    <w:link w:val="ab"/>
    <w:rsid w:val="00B45D14"/>
    <w:rPr>
      <w:rFonts w:ascii="宋体" w:hAnsi="Courier New"/>
      <w:szCs w:val="24"/>
    </w:rPr>
  </w:style>
  <w:style w:type="paragraph" w:styleId="ab">
    <w:name w:val="Plain Text"/>
    <w:basedOn w:val="a"/>
    <w:link w:val="Char3"/>
    <w:rsid w:val="00B45D14"/>
    <w:rPr>
      <w:rFonts w:ascii="宋体" w:eastAsiaTheme="minorEastAsia" w:hAnsi="Courier New" w:cstheme="minorBidi"/>
      <w:szCs w:val="24"/>
    </w:rPr>
  </w:style>
  <w:style w:type="character" w:customStyle="1" w:styleId="Char10">
    <w:name w:val="纯文本 Char1"/>
    <w:basedOn w:val="a0"/>
    <w:link w:val="ab"/>
    <w:uiPriority w:val="99"/>
    <w:semiHidden/>
    <w:rsid w:val="00B45D14"/>
    <w:rPr>
      <w:rFonts w:ascii="宋体" w:eastAsia="宋体" w:hAnsi="Courier New" w:cs="Courier New"/>
      <w:szCs w:val="21"/>
    </w:rPr>
  </w:style>
  <w:style w:type="character" w:customStyle="1" w:styleId="Char4">
    <w:name w:val="日期 Char"/>
    <w:link w:val="ac"/>
    <w:rsid w:val="00B45D14"/>
    <w:rPr>
      <w:szCs w:val="24"/>
    </w:rPr>
  </w:style>
  <w:style w:type="paragraph" w:styleId="ac">
    <w:name w:val="Date"/>
    <w:basedOn w:val="a"/>
    <w:next w:val="a"/>
    <w:link w:val="Char4"/>
    <w:rsid w:val="00B45D14"/>
    <w:pPr>
      <w:ind w:leftChars="2500" w:left="100"/>
    </w:pPr>
    <w:rPr>
      <w:rFonts w:asciiTheme="minorHAnsi" w:eastAsiaTheme="minorEastAsia" w:hAnsiTheme="minorHAnsi" w:cstheme="minorBidi"/>
      <w:szCs w:val="24"/>
    </w:rPr>
  </w:style>
  <w:style w:type="character" w:customStyle="1" w:styleId="Char11">
    <w:name w:val="日期 Char1"/>
    <w:basedOn w:val="a0"/>
    <w:link w:val="ac"/>
    <w:uiPriority w:val="99"/>
    <w:semiHidden/>
    <w:rsid w:val="00B45D14"/>
    <w:rPr>
      <w:rFonts w:ascii="Times New Roman" w:eastAsia="宋体" w:hAnsi="Times New Roman" w:cs="Times New Roman"/>
      <w:szCs w:val="20"/>
    </w:rPr>
  </w:style>
  <w:style w:type="paragraph" w:styleId="ad">
    <w:name w:val="table of authorities"/>
    <w:basedOn w:val="a"/>
    <w:next w:val="a"/>
    <w:semiHidden/>
    <w:qFormat/>
    <w:rsid w:val="00B45D14"/>
    <w:pPr>
      <w:ind w:leftChars="200" w:left="420"/>
    </w:pPr>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2020-04-13T03:53:00Z</dcterms:created>
  <dcterms:modified xsi:type="dcterms:W3CDTF">2020-04-13T03:57:00Z</dcterms:modified>
</cp:coreProperties>
</file>