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03"/>
        <w:gridCol w:w="1310"/>
        <w:gridCol w:w="1243"/>
        <w:gridCol w:w="343"/>
        <w:gridCol w:w="932"/>
        <w:gridCol w:w="1175"/>
        <w:gridCol w:w="101"/>
        <w:gridCol w:w="945"/>
        <w:gridCol w:w="1047"/>
        <w:gridCol w:w="1030"/>
        <w:gridCol w:w="1030"/>
        <w:gridCol w:w="1208"/>
        <w:gridCol w:w="83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方正小标宋简体" w:hAnsi="华文中宋" w:eastAsia="方正小标宋简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华文中宋" w:eastAsia="方正小标宋简体"/>
                <w:bCs/>
                <w:color w:val="000000"/>
                <w:sz w:val="36"/>
                <w:szCs w:val="36"/>
              </w:rPr>
              <w:t>全省冬春蔬菜生产情况周调度统计表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填报单位（盖章）：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填报日期：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ind w:firstLine="240" w:firstLineChars="100"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单位：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亩、吨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蔬菜在田面积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蔬菜产量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可调剂调出的蔬菜产量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主要品种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预计近期可扩种面积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近1周</w:t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收获面积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近1个月</w:t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收获面积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近2个月收获面积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近1周</w:t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收获产量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近1个月收获</w:t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产量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近2个月收获</w:t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产量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近1周</w:t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可调运</w:t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产量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近1个月可调运产量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近2个月</w:t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可调运</w:t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产量</w:t>
            </w: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西宁市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湟中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湟源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大通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7131"/>
    <w:rsid w:val="1D467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2020-02-03T09:29:00Z</dcterms:created>
  <dc:creator>张靖芬</dc:creator>
  <cp:lastModifiedBy>张靖芬</cp:lastModifiedBy>
  <dcterms:modified xsi:type="dcterms:W3CDTF">2020-02-03T09:31:31Z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