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附件2</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省市场监督管理局行政规范性文件修改目录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kern w:val="2"/>
          <w:sz w:val="44"/>
          <w:szCs w:val="44"/>
          <w:lang w:val="en-US" w:eastAsia="zh-CN" w:bidi="ar-SA"/>
        </w:rPr>
      </w:pPr>
    </w:p>
    <w:tbl>
      <w:tblPr>
        <w:tblStyle w:val="6"/>
        <w:tblW w:w="14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0130"/>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序号</w:t>
            </w:r>
          </w:p>
        </w:tc>
        <w:tc>
          <w:tcPr>
            <w:tcW w:w="10130"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文件名称</w:t>
            </w:r>
          </w:p>
        </w:tc>
        <w:tc>
          <w:tcPr>
            <w:tcW w:w="3697"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关于印发黑龙江省食品药品监督管理局保健食品化妆品安全突发事件应急预案（试行）的通知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黑食药监应急〔2015〕99号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关于印发《黑龙江省食品药品监督管理局行政处罚自由裁量权适用规则（试行）的通知》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黑食药监办法〔2015〕50号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color w:val="auto"/>
                <w:kern w:val="0"/>
                <w:sz w:val="28"/>
                <w:szCs w:val="28"/>
                <w:lang w:val="en-US" w:eastAsia="zh-CN"/>
              </w:rPr>
              <w:t>3</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黑龙江省质量技术监督局关于印发《黑龙江省质量技术监督行政处罚自由裁量权量化细化基准表》的通知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黑质技监法发〔2015〕178号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w:t>
            </w:r>
          </w:p>
        </w:tc>
        <w:tc>
          <w:tcPr>
            <w:tcW w:w="10130" w:type="dxa"/>
            <w:vAlign w:val="center"/>
          </w:tcPr>
          <w:p>
            <w:pPr>
              <w:widowControl/>
              <w:spacing w:line="280" w:lineRule="exact"/>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auto"/>
                <w:sz w:val="28"/>
                <w:szCs w:val="28"/>
                <w:lang w:val="en-US" w:eastAsia="zh-CN"/>
              </w:rPr>
              <w:t>关于印发《黑龙江省食品药品监督管理局行政复议工作制度（试行）的通知》</w:t>
            </w:r>
          </w:p>
        </w:tc>
        <w:tc>
          <w:tcPr>
            <w:tcW w:w="3697" w:type="dxa"/>
            <w:vAlign w:val="center"/>
          </w:tcPr>
          <w:p>
            <w:pPr>
              <w:widowControl/>
              <w:spacing w:line="280" w:lineRule="exact"/>
              <w:jc w:val="left"/>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auto"/>
                <w:sz w:val="28"/>
                <w:szCs w:val="28"/>
                <w:lang w:val="en-US" w:eastAsia="zh-CN"/>
              </w:rPr>
              <w:t>黑食药监法〔2016〕397号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w:t>
            </w:r>
          </w:p>
        </w:tc>
        <w:tc>
          <w:tcPr>
            <w:tcW w:w="10130" w:type="dxa"/>
            <w:vAlign w:val="center"/>
          </w:tcPr>
          <w:p>
            <w:pPr>
              <w:widowControl/>
              <w:spacing w:line="28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0"/>
                <w:sz w:val="28"/>
                <w:szCs w:val="28"/>
              </w:rPr>
              <w:t>关于印发黑龙江省食品生产许可工作规范（试行）的通知</w:t>
            </w:r>
          </w:p>
        </w:tc>
        <w:tc>
          <w:tcPr>
            <w:tcW w:w="3697" w:type="dxa"/>
            <w:vAlign w:val="center"/>
          </w:tcPr>
          <w:p>
            <w:pPr>
              <w:widowControl/>
              <w:spacing w:line="28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0"/>
                <w:sz w:val="28"/>
                <w:szCs w:val="28"/>
              </w:rPr>
              <w:t>黑食药监规备</w:t>
            </w:r>
            <w:r>
              <w:rPr>
                <w:rFonts w:hint="eastAsia" w:ascii="仿宋" w:hAnsi="仿宋" w:eastAsia="仿宋" w:cs="仿宋"/>
                <w:color w:val="auto"/>
                <w:kern w:val="0"/>
                <w:sz w:val="28"/>
                <w:szCs w:val="28"/>
                <w:lang w:val="en-US" w:eastAsia="zh-CN"/>
              </w:rPr>
              <w:t>〔2018〕</w:t>
            </w:r>
            <w:r>
              <w:rPr>
                <w:rFonts w:hint="eastAsia" w:ascii="仿宋" w:hAnsi="仿宋" w:eastAsia="仿宋" w:cs="仿宋"/>
                <w:color w:val="auto"/>
                <w:kern w:val="0"/>
                <w:sz w:val="28"/>
                <w:szCs w:val="28"/>
              </w:rPr>
              <w:t>16号</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p>
    <w:p>
      <w:bookmarkStart w:id="0" w:name="_GoBack"/>
      <w:bookmarkEnd w:id="0"/>
    </w:p>
    <w:sectPr>
      <w:headerReference r:id="rId3" w:type="default"/>
      <w:footerReference r:id="rId4" w:type="default"/>
      <w:pgSz w:w="16838" w:h="11906" w:orient="landscape"/>
      <w:pgMar w:top="1474" w:right="1440" w:bottom="1474"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47137"/>
    <w:rsid w:val="0E947137"/>
    <w:rsid w:val="3FB7396A"/>
    <w:rsid w:val="55AC0C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2020-01-10T07:57:00Z</dcterms:created>
  <dc:creator>那笑语</dc:creator>
  <cp:lastModifiedBy>Administrator</cp:lastModifiedBy>
  <dcterms:modified xsi:type="dcterms:W3CDTF">2020-01-10T08:05:00Z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