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Times New Roman" w:hAnsi="Times New Roman" w:eastAsia="方正仿宋_GBK"/>
          <w:snapToGrid w:val="0"/>
          <w:kern w:val="32"/>
          <w:sz w:val="32"/>
          <w:szCs w:val="32"/>
        </w:rPr>
      </w:pPr>
      <w:r>
        <w:rPr>
          <w:rFonts w:hint="eastAsia" w:ascii="方正黑体_GBK" w:hAnsi="方正黑体_GBK" w:eastAsia="方正黑体_GBK" w:cs="方正黑体_GBK"/>
          <w:snapToGrid w:val="0"/>
          <w:kern w:val="32"/>
          <w:sz w:val="32"/>
          <w:szCs w:val="32"/>
        </w:rPr>
        <w:t>附件1</w:t>
      </w:r>
    </w:p>
    <w:p>
      <w:pPr>
        <w:adjustRightInd w:val="0"/>
        <w:snapToGrid w:val="0"/>
        <w:spacing w:before="204" w:beforeLines="50" w:after="204" w:afterLines="50" w:line="590" w:lineRule="exact"/>
        <w:jc w:val="center"/>
        <w:rPr>
          <w:rFonts w:hint="eastAsia" w:ascii="方正小标宋_GBK" w:hAnsi="方正小标宋_GBK" w:eastAsia="方正小标宋_GBK" w:cs="方正小标宋_GBK"/>
          <w:snapToGrid w:val="0"/>
          <w:kern w:val="32"/>
          <w:sz w:val="44"/>
          <w:szCs w:val="44"/>
        </w:rPr>
      </w:pPr>
      <w:bookmarkStart w:id="1" w:name="_GoBack"/>
      <w:r>
        <w:rPr>
          <w:rFonts w:hint="eastAsia" w:ascii="方正小标宋_GBK" w:hAnsi="方正小标宋_GBK" w:eastAsia="方正小标宋_GBK" w:cs="方正小标宋_GBK"/>
          <w:color w:val="000000"/>
          <w:kern w:val="0"/>
          <w:sz w:val="44"/>
          <w:szCs w:val="44"/>
          <w:lang w:bidi="ar"/>
        </w:rPr>
        <w:t>广西“证照分离”改革全覆盖试点事项清单（2019年版）</w:t>
      </w:r>
    </w:p>
    <w:bookmarkEnd w:id="1"/>
    <w:p>
      <w:pPr>
        <w:adjustRightInd w:val="0"/>
        <w:snapToGrid w:val="0"/>
        <w:spacing w:after="204" w:afterLines="50" w:line="400" w:lineRule="exact"/>
        <w:jc w:val="center"/>
        <w:rPr>
          <w:rFonts w:ascii="Times New Roman" w:hAnsi="Times New Roman" w:eastAsia="方正楷体_GBK"/>
          <w:snapToGrid w:val="0"/>
          <w:kern w:val="32"/>
          <w:sz w:val="32"/>
          <w:szCs w:val="32"/>
        </w:rPr>
      </w:pPr>
      <w:r>
        <w:rPr>
          <w:rFonts w:ascii="Times New Roman" w:hAnsi="Times New Roman" w:eastAsia="方正楷体_GBK"/>
          <w:snapToGrid w:val="0"/>
          <w:kern w:val="32"/>
          <w:sz w:val="32"/>
          <w:szCs w:val="32"/>
        </w:rPr>
        <w:t>（共545项）</w:t>
      </w:r>
    </w:p>
    <w:tbl>
      <w:tblPr>
        <w:tblStyle w:val="3"/>
        <w:tblW w:w="13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1"/>
        <w:gridCol w:w="1342"/>
        <w:gridCol w:w="765"/>
        <w:gridCol w:w="949"/>
        <w:gridCol w:w="1320"/>
        <w:gridCol w:w="507"/>
        <w:gridCol w:w="507"/>
        <w:gridCol w:w="507"/>
        <w:gridCol w:w="508"/>
        <w:gridCol w:w="2492"/>
        <w:gridCol w:w="301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 w:hRule="atLeast"/>
          <w:tblHeader/>
        </w:trPr>
        <w:tc>
          <w:tcPr>
            <w:tcW w:w="421" w:type="dxa"/>
            <w:vMerge w:val="restart"/>
            <w:tcMar>
              <w:top w:w="57" w:type="dxa"/>
              <w:left w:w="0" w:type="dxa"/>
              <w:bottom w:w="57" w:type="dxa"/>
              <w:right w:w="0" w:type="dxa"/>
            </w:tcMar>
            <w:vAlign w:val="center"/>
          </w:tcPr>
          <w:p>
            <w:pPr>
              <w:widowControl/>
              <w:adjustRightInd w:val="0"/>
              <w:snapToGrid w:val="0"/>
              <w:spacing w:line="260" w:lineRule="exact"/>
              <w:jc w:val="center"/>
              <w:textAlignment w:val="center"/>
              <w:rPr>
                <w:rFonts w:hint="eastAsia" w:ascii="方正黑体_GBK" w:hAnsi="方正黑体_GBK" w:eastAsia="方正黑体_GBK" w:cs="方正黑体_GBK"/>
                <w:bCs/>
                <w:color w:val="000000"/>
                <w:kern w:val="0"/>
                <w:sz w:val="20"/>
                <w:szCs w:val="20"/>
                <w:lang w:bidi="ar"/>
              </w:rPr>
            </w:pPr>
            <w:bookmarkStart w:id="0" w:name="OLE_LINK1"/>
            <w:r>
              <w:rPr>
                <w:rFonts w:hint="eastAsia" w:ascii="方正黑体_GBK" w:hAnsi="方正黑体_GBK" w:eastAsia="方正黑体_GBK" w:cs="方正黑体_GBK"/>
                <w:bCs/>
                <w:color w:val="000000"/>
                <w:kern w:val="0"/>
                <w:sz w:val="20"/>
                <w:szCs w:val="20"/>
                <w:lang w:bidi="ar"/>
              </w:rPr>
              <w:t>序</w:t>
            </w:r>
          </w:p>
          <w:p>
            <w:pPr>
              <w:widowControl/>
              <w:adjustRightInd w:val="0"/>
              <w:snapToGrid w:val="0"/>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号</w:t>
            </w:r>
          </w:p>
        </w:tc>
        <w:tc>
          <w:tcPr>
            <w:tcW w:w="1342"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改革事项</w:t>
            </w:r>
            <w:r>
              <w:rPr>
                <w:rFonts w:hint="eastAsia" w:ascii="方正黑体_GBK" w:hAnsi="方正黑体_GBK" w:eastAsia="方正黑体_GBK" w:cs="方正黑体_GBK"/>
                <w:bCs/>
                <w:color w:val="000000"/>
                <w:kern w:val="0"/>
                <w:sz w:val="20"/>
                <w:szCs w:val="20"/>
                <w:lang w:bidi="ar"/>
              </w:rPr>
              <w:br w:type="textWrapping"/>
            </w:r>
            <w:r>
              <w:rPr>
                <w:rFonts w:hint="eastAsia" w:ascii="方正黑体_GBK" w:hAnsi="方正黑体_GBK" w:eastAsia="方正黑体_GBK" w:cs="方正黑体_GBK"/>
                <w:bCs/>
                <w:color w:val="000000"/>
                <w:kern w:val="0"/>
                <w:sz w:val="20"/>
                <w:szCs w:val="20"/>
                <w:lang w:bidi="ar"/>
              </w:rPr>
              <w:t>名称</w:t>
            </w:r>
          </w:p>
        </w:tc>
        <w:tc>
          <w:tcPr>
            <w:tcW w:w="765"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许可证</w:t>
            </w:r>
            <w:r>
              <w:rPr>
                <w:rFonts w:hint="eastAsia" w:ascii="方正黑体_GBK" w:hAnsi="方正黑体_GBK" w:eastAsia="方正黑体_GBK" w:cs="方正黑体_GBK"/>
                <w:bCs/>
                <w:color w:val="000000"/>
                <w:kern w:val="0"/>
                <w:sz w:val="20"/>
                <w:szCs w:val="20"/>
                <w:lang w:bidi="ar"/>
              </w:rPr>
              <w:br w:type="textWrapping"/>
            </w:r>
            <w:r>
              <w:rPr>
                <w:rFonts w:hint="eastAsia" w:ascii="方正黑体_GBK" w:hAnsi="方正黑体_GBK" w:eastAsia="方正黑体_GBK" w:cs="方正黑体_GBK"/>
                <w:bCs/>
                <w:color w:val="000000"/>
                <w:kern w:val="0"/>
                <w:sz w:val="20"/>
                <w:szCs w:val="20"/>
                <w:lang w:bidi="ar"/>
              </w:rPr>
              <w:t>名称</w:t>
            </w:r>
          </w:p>
        </w:tc>
        <w:tc>
          <w:tcPr>
            <w:tcW w:w="949"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审批层级和部门</w:t>
            </w:r>
          </w:p>
        </w:tc>
        <w:tc>
          <w:tcPr>
            <w:tcW w:w="1320"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设定依据</w:t>
            </w:r>
          </w:p>
        </w:tc>
        <w:tc>
          <w:tcPr>
            <w:tcW w:w="2029" w:type="dxa"/>
            <w:gridSpan w:val="4"/>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改革方式</w:t>
            </w:r>
          </w:p>
        </w:tc>
        <w:tc>
          <w:tcPr>
            <w:tcW w:w="2492"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具体改革举措</w:t>
            </w:r>
          </w:p>
        </w:tc>
        <w:tc>
          <w:tcPr>
            <w:tcW w:w="3015"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加强事中事后监管措施</w:t>
            </w:r>
          </w:p>
        </w:tc>
        <w:tc>
          <w:tcPr>
            <w:tcW w:w="774" w:type="dxa"/>
            <w:vMerge w:val="restart"/>
            <w:tcMar>
              <w:top w:w="57" w:type="dxa"/>
              <w:left w:w="0" w:type="dxa"/>
              <w:bottom w:w="57" w:type="dxa"/>
              <w:right w:w="0" w:type="dxa"/>
            </w:tcMar>
            <w:vAlign w:val="center"/>
          </w:tcPr>
          <w:p>
            <w:pPr>
              <w:widowControl/>
              <w:spacing w:line="26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64" w:hRule="atLeast"/>
          <w:tblHeader/>
        </w:trPr>
        <w:tc>
          <w:tcPr>
            <w:tcW w:w="421" w:type="dxa"/>
            <w:vMerge w:val="continue"/>
            <w:tcMar>
              <w:top w:w="57" w:type="dxa"/>
              <w:left w:w="0" w:type="dxa"/>
              <w:bottom w:w="57" w:type="dxa"/>
              <w:right w:w="0" w:type="dxa"/>
            </w:tcMar>
            <w:vAlign w:val="center"/>
          </w:tcPr>
          <w:p>
            <w:pPr>
              <w:adjustRightInd w:val="0"/>
              <w:snapToGrid w:val="0"/>
              <w:spacing w:line="280" w:lineRule="exact"/>
              <w:jc w:val="center"/>
              <w:rPr>
                <w:rFonts w:hint="eastAsia" w:ascii="方正黑体_GBK" w:hAnsi="方正黑体_GBK" w:eastAsia="方正黑体_GBK" w:cs="方正黑体_GBK"/>
                <w:b/>
                <w:color w:val="000000"/>
                <w:sz w:val="20"/>
                <w:szCs w:val="20"/>
              </w:rPr>
            </w:pPr>
          </w:p>
        </w:tc>
        <w:tc>
          <w:tcPr>
            <w:tcW w:w="1342" w:type="dxa"/>
            <w:vMerge w:val="continue"/>
            <w:tcMar>
              <w:top w:w="57" w:type="dxa"/>
              <w:left w:w="0" w:type="dxa"/>
              <w:bottom w:w="57" w:type="dxa"/>
              <w:right w:w="0" w:type="dxa"/>
            </w:tcMar>
            <w:vAlign w:val="center"/>
          </w:tcPr>
          <w:p>
            <w:pPr>
              <w:spacing w:line="280" w:lineRule="exact"/>
              <w:rPr>
                <w:rFonts w:hint="eastAsia" w:ascii="方正黑体_GBK" w:hAnsi="方正黑体_GBK" w:eastAsia="方正黑体_GBK" w:cs="方正黑体_GBK"/>
                <w:b/>
                <w:color w:val="000000"/>
                <w:sz w:val="20"/>
                <w:szCs w:val="20"/>
              </w:rPr>
            </w:pPr>
          </w:p>
        </w:tc>
        <w:tc>
          <w:tcPr>
            <w:tcW w:w="765" w:type="dxa"/>
            <w:vMerge w:val="continue"/>
            <w:tcMar>
              <w:top w:w="57" w:type="dxa"/>
              <w:left w:w="0" w:type="dxa"/>
              <w:bottom w:w="57" w:type="dxa"/>
              <w:right w:w="0" w:type="dxa"/>
            </w:tcMar>
            <w:vAlign w:val="center"/>
          </w:tcPr>
          <w:p>
            <w:pPr>
              <w:spacing w:line="280" w:lineRule="exact"/>
              <w:rPr>
                <w:rFonts w:hint="eastAsia" w:ascii="方正黑体_GBK" w:hAnsi="方正黑体_GBK" w:eastAsia="方正黑体_GBK" w:cs="方正黑体_GBK"/>
                <w:b/>
                <w:color w:val="000000"/>
                <w:sz w:val="20"/>
                <w:szCs w:val="20"/>
              </w:rPr>
            </w:pPr>
          </w:p>
        </w:tc>
        <w:tc>
          <w:tcPr>
            <w:tcW w:w="949" w:type="dxa"/>
            <w:vMerge w:val="continue"/>
            <w:tcMar>
              <w:top w:w="57" w:type="dxa"/>
              <w:left w:w="0" w:type="dxa"/>
              <w:bottom w:w="57" w:type="dxa"/>
              <w:right w:w="0" w:type="dxa"/>
            </w:tcMar>
            <w:vAlign w:val="center"/>
          </w:tcPr>
          <w:p>
            <w:pPr>
              <w:spacing w:line="280" w:lineRule="exact"/>
              <w:rPr>
                <w:rFonts w:hint="eastAsia" w:ascii="方正黑体_GBK" w:hAnsi="方正黑体_GBK" w:eastAsia="方正黑体_GBK" w:cs="方正黑体_GBK"/>
                <w:b/>
                <w:color w:val="000000"/>
                <w:sz w:val="20"/>
                <w:szCs w:val="20"/>
              </w:rPr>
            </w:pPr>
          </w:p>
        </w:tc>
        <w:tc>
          <w:tcPr>
            <w:tcW w:w="1320" w:type="dxa"/>
            <w:vMerge w:val="continue"/>
            <w:tcMar>
              <w:top w:w="57" w:type="dxa"/>
              <w:left w:w="0" w:type="dxa"/>
              <w:bottom w:w="57" w:type="dxa"/>
              <w:right w:w="0" w:type="dxa"/>
            </w:tcMar>
            <w:vAlign w:val="center"/>
          </w:tcPr>
          <w:p>
            <w:pPr>
              <w:spacing w:line="280" w:lineRule="exact"/>
              <w:jc w:val="center"/>
              <w:rPr>
                <w:rFonts w:hint="eastAsia" w:ascii="方正黑体_GBK" w:hAnsi="方正黑体_GBK" w:eastAsia="方正黑体_GBK" w:cs="方正黑体_GBK"/>
                <w:b/>
                <w:color w:val="000000"/>
                <w:sz w:val="20"/>
                <w:szCs w:val="20"/>
              </w:rPr>
            </w:pPr>
          </w:p>
        </w:tc>
        <w:tc>
          <w:tcPr>
            <w:tcW w:w="507" w:type="dxa"/>
            <w:tcMar>
              <w:top w:w="57" w:type="dxa"/>
              <w:left w:w="0" w:type="dxa"/>
              <w:bottom w:w="57" w:type="dxa"/>
              <w:right w:w="0" w:type="dxa"/>
            </w:tcMar>
            <w:vAlign w:val="center"/>
          </w:tcPr>
          <w:p>
            <w:pPr>
              <w:widowControl/>
              <w:spacing w:line="24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直接取消审批</w:t>
            </w:r>
          </w:p>
        </w:tc>
        <w:tc>
          <w:tcPr>
            <w:tcW w:w="507" w:type="dxa"/>
            <w:tcMar>
              <w:top w:w="57" w:type="dxa"/>
              <w:left w:w="0" w:type="dxa"/>
              <w:bottom w:w="57" w:type="dxa"/>
              <w:right w:w="0" w:type="dxa"/>
            </w:tcMar>
            <w:vAlign w:val="center"/>
          </w:tcPr>
          <w:p>
            <w:pPr>
              <w:widowControl/>
              <w:spacing w:line="24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审批改为备案</w:t>
            </w:r>
          </w:p>
        </w:tc>
        <w:tc>
          <w:tcPr>
            <w:tcW w:w="507" w:type="dxa"/>
            <w:tcMar>
              <w:top w:w="57" w:type="dxa"/>
              <w:left w:w="0" w:type="dxa"/>
              <w:bottom w:w="57" w:type="dxa"/>
              <w:right w:w="0" w:type="dxa"/>
            </w:tcMar>
            <w:vAlign w:val="center"/>
          </w:tcPr>
          <w:p>
            <w:pPr>
              <w:widowControl/>
              <w:spacing w:line="24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实行告知承诺</w:t>
            </w:r>
          </w:p>
        </w:tc>
        <w:tc>
          <w:tcPr>
            <w:tcW w:w="508" w:type="dxa"/>
            <w:tcMar>
              <w:top w:w="57" w:type="dxa"/>
              <w:left w:w="0" w:type="dxa"/>
              <w:bottom w:w="57" w:type="dxa"/>
              <w:right w:w="0" w:type="dxa"/>
            </w:tcMar>
            <w:vAlign w:val="center"/>
          </w:tcPr>
          <w:p>
            <w:pPr>
              <w:widowControl/>
              <w:spacing w:line="240" w:lineRule="exact"/>
              <w:jc w:val="center"/>
              <w:textAlignment w:val="center"/>
              <w:rPr>
                <w:rFonts w:hint="eastAsia" w:ascii="方正黑体_GBK" w:hAnsi="方正黑体_GBK" w:eastAsia="方正黑体_GBK" w:cs="方正黑体_GBK"/>
                <w:bCs/>
                <w:color w:val="000000"/>
                <w:sz w:val="20"/>
                <w:szCs w:val="20"/>
              </w:rPr>
            </w:pPr>
            <w:r>
              <w:rPr>
                <w:rFonts w:hint="eastAsia" w:ascii="方正黑体_GBK" w:hAnsi="方正黑体_GBK" w:eastAsia="方正黑体_GBK" w:cs="方正黑体_GBK"/>
                <w:bCs/>
                <w:color w:val="000000"/>
                <w:kern w:val="0"/>
                <w:sz w:val="20"/>
                <w:szCs w:val="20"/>
                <w:lang w:bidi="ar"/>
              </w:rPr>
              <w:t>优化审批服务</w:t>
            </w:r>
          </w:p>
        </w:tc>
        <w:tc>
          <w:tcPr>
            <w:tcW w:w="2492" w:type="dxa"/>
            <w:vMerge w:val="continue"/>
            <w:tcMar>
              <w:top w:w="57" w:type="dxa"/>
              <w:left w:w="0" w:type="dxa"/>
              <w:bottom w:w="57" w:type="dxa"/>
              <w:right w:w="0" w:type="dxa"/>
            </w:tcMar>
            <w:vAlign w:val="center"/>
          </w:tcPr>
          <w:p>
            <w:pPr>
              <w:spacing w:line="280" w:lineRule="exact"/>
              <w:rPr>
                <w:rFonts w:hint="eastAsia" w:ascii="方正黑体_GBK" w:hAnsi="方正黑体_GBK" w:eastAsia="方正黑体_GBK" w:cs="方正黑体_GBK"/>
                <w:b/>
                <w:color w:val="000000"/>
                <w:sz w:val="20"/>
                <w:szCs w:val="20"/>
              </w:rPr>
            </w:pPr>
          </w:p>
        </w:tc>
        <w:tc>
          <w:tcPr>
            <w:tcW w:w="3015" w:type="dxa"/>
            <w:vMerge w:val="continue"/>
            <w:tcMar>
              <w:top w:w="57" w:type="dxa"/>
              <w:left w:w="0" w:type="dxa"/>
              <w:bottom w:w="57" w:type="dxa"/>
              <w:right w:w="0" w:type="dxa"/>
            </w:tcMar>
            <w:vAlign w:val="center"/>
          </w:tcPr>
          <w:p>
            <w:pPr>
              <w:spacing w:line="280" w:lineRule="exact"/>
              <w:rPr>
                <w:rFonts w:hint="eastAsia" w:ascii="方正黑体_GBK" w:hAnsi="方正黑体_GBK" w:eastAsia="方正黑体_GBK" w:cs="方正黑体_GBK"/>
                <w:b/>
                <w:color w:val="000000"/>
                <w:sz w:val="20"/>
                <w:szCs w:val="20"/>
              </w:rPr>
            </w:pPr>
          </w:p>
        </w:tc>
        <w:tc>
          <w:tcPr>
            <w:tcW w:w="774" w:type="dxa"/>
            <w:vMerge w:val="continue"/>
            <w:tcMar>
              <w:top w:w="57" w:type="dxa"/>
              <w:left w:w="0" w:type="dxa"/>
              <w:bottom w:w="57" w:type="dxa"/>
              <w:right w:w="0" w:type="dxa"/>
            </w:tcMar>
            <w:vAlign w:val="center"/>
          </w:tcPr>
          <w:p>
            <w:pPr>
              <w:spacing w:line="280" w:lineRule="exact"/>
              <w:rPr>
                <w:rFonts w:hint="eastAsia" w:ascii="方正黑体_GBK" w:hAnsi="方正黑体_GBK" w:eastAsia="方正黑体_GBK" w:cs="方正黑体_GBK"/>
                <w:b/>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典当业特种行业许可证核发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典当业特种行业许可证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暂时调整适用《国务院对确需保留的行政审批项目设定行政许可的决定》关于“典当业特种行业许可证核发”的规定，取消审批。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工程造价咨询企业甲级资质认定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工程造价咨询企业甲级资质证书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7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工程造价咨询企业乙级资质认定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工程造价咨询企业乙级资质证书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63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国际客船、散装液体危险品船运输业务经营审批（初审）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《中华人民共和国国际海运条例》</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取消“国际客船、散装液体危险品船运输业务经营审批（初审）”。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交通运输部实施的“国际客船、散装液体危险品船运输业务经营审批”，对原初审审查事项进行审核。2.开展“双随机、一公开”监管，发现违法违规行为的要依法查处并公开结果。3.建立国际船舶运输企业信用档案并向社会公开信用记录，对严重失信主体开展联合惩戒。4.发挥行业协会自律作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从事大陆与台湾间海上运输业务许可（初审）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取消“从事大陆与台湾间海上运输业务许可（初审）”。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1.通过交通运输部实施的“从事大陆与台湾间海上运输业务许可”，</w:t>
            </w:r>
            <w:r>
              <w:rPr>
                <w:rFonts w:hint="eastAsia" w:ascii="Times New Roman" w:hAnsi="Times New Roman" w:eastAsia="方正书宋_GBK" w:cs="方正书宋_GBK"/>
                <w:color w:val="000000"/>
                <w:spacing w:val="11"/>
                <w:kern w:val="0"/>
                <w:sz w:val="20"/>
                <w:szCs w:val="20"/>
                <w:lang w:bidi="ar"/>
              </w:rPr>
              <w:t>对原初审审查事项进行审核。</w:t>
            </w:r>
            <w:r>
              <w:rPr>
                <w:rFonts w:hint="eastAsia" w:ascii="Times New Roman" w:hAnsi="Times New Roman" w:eastAsia="方正书宋_GBK" w:cs="方正书宋_GBK"/>
                <w:color w:val="000000"/>
                <w:kern w:val="0"/>
                <w:sz w:val="20"/>
                <w:szCs w:val="20"/>
                <w:lang w:bidi="ar"/>
              </w:rPr>
              <w:t>2.开展“双随机、一公开”监管，发现违法违规行为的要依法查处并公开结果。3.加强信用监管，建立有关海运企业信用档案并向社会公开信用记录，对失信主体开展联合惩戒。4.发挥行业协会自律作用。</w:t>
            </w:r>
          </w:p>
        </w:tc>
        <w:tc>
          <w:tcPr>
            <w:tcW w:w="774"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69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拖拉机驾驶培训学校、驾驶培训班资格认定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拖拉机驾驶培训许可证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《中华人民共和国道路交通安全法》</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根据全国人大常委会授权决定，暂时调整适用《中华人民共和国道路交通安全法》关于“拖拉机驾驶培训学校、驾驶培训班”的规定，取消审批。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2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对外贸易经营者备案登记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备案表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《中华人民共和国对外贸易法》</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根据全国人大常委会授权决定，暂时调整适用《中华人民共和国对外贸易法》关于“对外贸易经营者备案登记”的规定，取消“对外贸易经营者备案登记”。</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开展“双随机、一公开”监管等事中事后监管，发现违法违规行为的要依法查处并公开结果，对严重违法违规的企业要依法联合实施市场禁入措施。3.加强信用监管，建立经营主体信用记录，实施失信联合惩戒。4.支持行业协会发挥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3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石油成品油批发经营资格审批（初审）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暂时调整适用《国务院对确需保留的行政审批项目设定行政许可的决定》关于“石油成品油批发经营资格审批”的规定，取消初审。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1.开展“双随机、一公开”监管。2.加强信用监管，向社会公布相关经营主体信用状况，对失信主体开展联合惩戒，对有不良信用记录的经营主体提高检查频次。3.发挥行业协会自律作用。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石油成品油批发经营资格审批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原油销售经营批准证书、成品油批发经营批准证书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商务部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暂时调整适用《国务院对确需保留的行政审批项目设定行政许可的决定》关于“石油成品油批发经营资格审批”的规定，取消审批。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1.开展“双随机、一公开”监管。2.加强信用监管，向社会公布相关经营主体信用状况，对失信主体开展联合惩戒，对有不良信用记录的经营主体提高检查频次。3.发挥行业协会自律作用。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石油成品油仓储经营资格审批（初审）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暂时调整适用《国务院对确需保留的行政审批项目设定行政许可的决定》关于“石油成品油仓储经营资格审批”的规定，取消初审。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1.开展“双随机、一公开”监管。2.加强信用监管，向社会公布相关经营主体信用状况，对失信主体开展联合惩戒，对有不良信用记录的经营主体提高检查频次。3.发挥行业协会自律作用。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石油成品油仓储经营资格审批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原油仓储经营批准证书、成品油仓储经营批准证书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商务部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暂时调整适用《国务院对确需保留的行政审批项目设定行政许可的决定》关于“石油成品油仓储经营资格审批”的规定，取消审批。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1.开展“双随机、一公开”监管。2.加强信用监管，向社会公布相关经营主体信用状况，对失信主体开展联合惩戒，对有不良信用记录的经营主体提高检查频次。3.发挥行业协会自律作用。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0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消防技术服务机构资质审批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消防技术服务机构资质证书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省级消防救援机构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《中华人民共和国消防法》</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根据全国人大常委会授权决定，暂时调整适用《中华人民共和国消防法》关于“消防技术服务机构资质审批”的规定，取消审批。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消防技术服务机构从业条件和服务标准，引导加强行业自律、规范从业行为、落实主体责任。2.加强对从业行为的监督抽查，对不具备从业条件、弄虚作假等违法违规行为要依法查处。3.对投诉举报多的机构实施重点监管。4.对造成人员死亡或重大社会影响的火灾，倒查中介服务机构主体责任，依法严肃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1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从事强制性认证以及相关活动的检查机构指定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《中华人民共和国认证认可条例》</w:t>
            </w: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暂时调整适用《中华人民共和国认证认可条例》关于“从事强制性认证以及相关活动的检查机构指定”的规定，取消审批。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由从事强制性认证活动的认证机构对工厂检查结果及认证结论负责。2.开展“双随机、一公开”监管，发现认证机构或其委托的检查机构在工厂检查过程中存在违法行为或出具虚假检查报告的，依法严肃查处。3.将认证机构和检查机构纳入信用监管范围，向社会公开信用记录，建立工厂检查员黑名单制度。4.督促认可机构加强认可管理。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1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从事种子进出口业务的林木种子生产经营许可证（初审）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省级林草部门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全国人大常委会授权决定，暂时调整适用《中华人民共和国种子法》关于“林草种子（进出口）生产经营许可证核发”的规定，取消省级林草部门实施的审核（初审）环节，申请人直接向国家林草局提出申请。2.不再要求申请人提供经营场所权属证明、生产用地用途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1.开展“双随机、一公开”监管，发现违法违规行为的要依法查处并公开结果。2.加强信用监管，建立企业信用档案并向社会公开，对失信主体开展联合惩戒。3.依法及时处理投诉举报。4.发挥行业协会自律作用。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诊所设置审批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暂时调整适用《医疗机构管理条例》关于“诊所设置审批”的规定，将诊所设置审批改为备案。改革后，诊所开展诊疗活动应持有营业执照并按要求进行备案。同时，取消设置诊所的规划限制。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仅限诊所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1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诊所执业登记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医疗机构执业许可证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暂时调整适用《医疗机构管理条例》关于“诊所执业登记”的规定，将诊所执业登记改为备案。改革后，诊所开展诊疗活动应持有营业执照并按要求进行备案。同时，取消设置诊所的规划限制。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仅限诊所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34"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社会办医疗机构乙类大型医用设备配置许可</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乙类大型医用设备配置许可证</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《医疗器械监督管理条例》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暂时调整适用《医疗器械监督管理条例》关于“社会办医疗机构乙类大型医用设备配置许可”的规定，将许可改为备案。改革后，社会办医疗机构配置乙类大型医用设备，应按要求进行备案。</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有不良信用记录的医疗机构，提高监督检查频次，发现违法违规行为的要依法查处并公开结果。加强对未备案行为的监管。2.加强信用监管，向社会公布有关医疗机构信用状况，对严重失信主体依法实施行业禁入措施。3.发挥行业协会自律作用。</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报关企业注册登记</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中华人民共和国报关单位注册登记证书</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直属海关或者其授权的隶属海关</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根据全国人大常委会授权决定，暂时调整适用《中华人民共和国海关法》关于“报关企业注册登记”的规定，将许可改为备案。改革后，企业开展报关经营活动应持有营业执照并按要求进行备案。同时，将报关企业注册登记纳入“多证合一”范围，在企业登记注册环节一并办理备案手续。</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1.市场监管部门将备案信息推送至海关，海关做好对备案信息的核对工作。2.加强信用监管，综合运用稽查、缉私等方面数据，及时调整企业信用等级。3.加强报关企业年报管理。</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出口食品生产企业备案核准</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出口食品生产企业备案证明</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主管海关</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《中华人民共和国食品安全法》</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改革后，企业开展生产出口食品的经营活动应持有营业执照并按要求进行备案。</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健全出口食品生产企业备案管理系统，利用通关数据校验有关信息。2.强化海关与市场监管等部门之间的信息共享。3.加强信用监管，多渠道完善信用信息采集。4.通过企业年报、现场检查等方式，对出口食品生产企业实施监管。</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食品经营许可（仅销售预包装食品）</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食品经营许可证</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县级以上地方市场监管部门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《中华人民共和国食品安全法》</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774"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非经营性通用航空活动登记核准</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非经营性通用航空登记证</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对非经营性通用航空活动实行备案管理。改革后，非经营性通用航空活动主体应按要求向住所地民航地区管理局进行备案。</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依法开展民用航空器国籍登记证、适航证和电台执照核发、驾驶员资质管理、飞行计划审批、飞行活动信息统计等工作，对非经营性航空活动的实施主体、航空器、驾驶员和飞行活动地点、时间、过程等各环节、各要素实施全面管理，实现对非经营性通用航空活动的持续安全管理。2.对非经营性通用航空活动进行监管，依法查处违法违规行为。3.加强通用航空诚信体系建设，强化对非经营性通用航空活动主体的信用约束。</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民航企业及机场联合、重组和改制审批</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准予许可的批复</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暂时调整适用《国务院对确需保留的行政审批项目设定行政许可的决定》有关规定，将许可改为备案。改革后，实施联合重组改制行为的民航企业及机场，应按要求向其住所地民航地区管理局进行备案。</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1.开展“双随机、一公开”监管、重点监管和非现场监管，及时处理投诉举报。2.完善民航企业及机场年度报告制度。3.加强信用监管，对因严重失信行为被记入信用记录的企业依法实施联合惩戒。</w:t>
            </w:r>
          </w:p>
        </w:tc>
        <w:tc>
          <w:tcPr>
            <w:tcW w:w="774" w:type="dxa"/>
            <w:tcMar>
              <w:top w:w="57" w:type="dxa"/>
              <w:left w:w="57" w:type="dxa"/>
              <w:bottom w:w="57" w:type="dxa"/>
              <w:right w:w="57" w:type="dxa"/>
            </w:tcMar>
            <w:vAlign w:val="center"/>
          </w:tcPr>
          <w:p>
            <w:pPr>
              <w:spacing w:line="30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外商投资经营电信业务（第二类增值电信业务）审批</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外商投资经营电信业务审定意见书</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工业和信息化部；省级通信管理局</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《外商投资电信企业管理规定》</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对第二类增值电信业务中外方投资者基本情况及出资比例、申请经营的业务种类等材料实行告知承诺，当场作出审批决定。</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1.对以告知承诺方式取得外商投资经营电信业务许可的经营者，加强对其承诺内容真实性的例行核查，发现实际情况与承诺不符的，依法予以处理。2.开展“双随机、一公开”监管，依法查处违法违规行为。</w:t>
            </w:r>
          </w:p>
        </w:tc>
        <w:tc>
          <w:tcPr>
            <w:tcW w:w="774"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电信业务（第二类增值电信业务）经营许可</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电信业务经营许可证</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工业和信息化部；省级通信管理局</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《中华人民共和国电信条例》</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1.对经营第二类增值电信业务应当具备的法定条件和服务能力（包括主体、人员、场地、设施、信用、安全等）实行告知承诺，当场作出审批决定。2.健全有关管理平台，提升审批服务水平。</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对失信主体开展联合惩戒。</w:t>
            </w:r>
          </w:p>
        </w:tc>
        <w:tc>
          <w:tcPr>
            <w:tcW w:w="774"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保安培训许可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保安培训许可证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《保安服务管理条例》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1.一次性告知申请人申办保安培训许可证应具备的条件和需提交的材料。申请人承诺符合条件并提交材料的，当场作出审批决定。2.不再要求申请人提供相关人员无故意犯罪记录证明等材料。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对承诺内容真实性的核查，发现虚假承诺、承诺严重不实或者申请人未达到法定条件即开展经营活动的要依法处理。2.开展“双随机、一公开”监管、重点监管，及时处理投诉举报，依法查处违法违规行为。3.加强信用监管，建立企业信用档案并向社会公开信用记录，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旅馆业特种行业许可证核发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旅馆业特种行业许可证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《国务院对确需保留的行政审批项目设定行政许可的决定》《旅馆业治安管理办法》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一次性告知申请人申办旅馆业特种行业许可证应具备的条件和需提交的材料（包括房屋建筑、消防设备、出入口和通道等符合《中华人民共和国消防法》等规定，具备必要的防盗安全设施）。申请人承诺符合条件并提交材料的，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1.加强对承诺内容真实性的核查，发现虚假承诺、承诺严重不实的要依法处理。2.开展“双随机、一公开”监管，依法查处违法违规行为。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公章刻制业特种行业许可证核发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公章刻制业特种行业许可证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《国务院对确需保留的行政审批项目设定行政许可的决定》《印铸刻字业暂行管理规则》</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一次性告知申请人申办公章刻制业特种行业许可证应具备的条件和需提交的材料（包括申请登记表、像片、略图、名册）。申请人承诺符合条件并提交材料的，当场作出审批决定。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1.加强对承诺内容真实性的核查，发现虚假承诺、承诺严重不实的要依法处理。2.开展“双随机、一公开”监管，依法查处违法违规行为。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互联网上网服务营业场所信息网络安全审核</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省、设区的市、县级公安机关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《互联网上网服务营业场所管理条例》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1.实行申请、审批全程网上办理。2.一次性告知申请人申办互联网上网服务营业场所信息安全审核应具备的条件和需提交的材料。申请人承诺符合条件并提交材料的，当场作出审批决定。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1.开展“双随机、一公开”监管，合理确定抽查比例。2.加强信用监管，建立从业人员信用档案，对失信主体开展联合惩戒。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6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w:t>
            </w:r>
          </w:p>
        </w:tc>
        <w:tc>
          <w:tcPr>
            <w:tcW w:w="134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会计师事务所分支机构设立审批</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会计师事务所分所执业证书</w:t>
            </w:r>
          </w:p>
        </w:tc>
        <w:tc>
          <w:tcPr>
            <w:tcW w:w="949"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省级财政部门</w:t>
            </w:r>
          </w:p>
        </w:tc>
        <w:tc>
          <w:tcPr>
            <w:tcW w:w="1320" w:type="dxa"/>
            <w:tcMar>
              <w:top w:w="57" w:type="dxa"/>
              <w:left w:w="57" w:type="dxa"/>
              <w:bottom w:w="57" w:type="dxa"/>
              <w:right w:w="57" w:type="dxa"/>
            </w:tcMar>
            <w:vAlign w:val="center"/>
          </w:tcPr>
          <w:p>
            <w:pPr>
              <w:widowControl/>
              <w:spacing w:line="26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《中华人民共和国注册会计师法》</w:t>
            </w: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6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设立会计师事务所分支机构应当具备的执业条件（包括会计师事务所持有执业许可、人员和业务规模、近3年未因执业行为受到行政处罚、分支机构人员要求）实行告知承诺，经形式审查后当场作出审批决定。2.2020年底前实现会计师事务所分所执业许可证书电子化。</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c>
          <w:tcPr>
            <w:tcW w:w="774"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6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w:t>
            </w:r>
          </w:p>
        </w:tc>
        <w:tc>
          <w:tcPr>
            <w:tcW w:w="134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中介机构从事代理记账业务审批</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代理记账许可证书</w:t>
            </w:r>
          </w:p>
        </w:tc>
        <w:tc>
          <w:tcPr>
            <w:tcW w:w="949"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县级以上地方财政部门</w:t>
            </w:r>
          </w:p>
        </w:tc>
        <w:tc>
          <w:tcPr>
            <w:tcW w:w="1320" w:type="dxa"/>
            <w:tcMar>
              <w:top w:w="57" w:type="dxa"/>
              <w:left w:w="57" w:type="dxa"/>
              <w:bottom w:w="57" w:type="dxa"/>
              <w:right w:w="57" w:type="dxa"/>
            </w:tcMar>
            <w:vAlign w:val="center"/>
          </w:tcPr>
          <w:p>
            <w:pPr>
              <w:widowControl/>
              <w:spacing w:line="26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《中华人民共和国会计法》</w:t>
            </w: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6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774" w:type="dxa"/>
            <w:tcMar>
              <w:top w:w="57" w:type="dxa"/>
              <w:left w:w="57" w:type="dxa"/>
              <w:bottom w:w="57" w:type="dxa"/>
              <w:right w:w="57" w:type="dxa"/>
            </w:tcMar>
            <w:vAlign w:val="center"/>
          </w:tcPr>
          <w:p>
            <w:pPr>
              <w:spacing w:line="26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民办职业培训学校设立、分立、合并、变更及终止审批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民办学校办学许可证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县级以上地方人力资源社会保障部门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《中华人民共和国民办教育促进法》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对承诺将在规定期限内具备举办者培养目标、办学规模、办学层次、办学形式、内部管理体制、资产来源、资金数额等条件的，经形式审查后当场作出审批决定。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1.开展“双随机、一公开”监管，发现违法违规行为的要依法查处并公开结果。2.加强信用监管，向社会公布民办职业培训学校信用状况，对失信主体开展联合惩戒。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经营性中外合作职业技能培训机构设立、分立、合并、变更、终止审批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中外合作办学许可证、内地与港澳台地区合作办学许可证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省级人力资源社会保障部门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《中华人民共和国中外合作办学条例》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对承诺将在规定期限内具备机构负责人、师资和管理人员、经费保障、教学场所和设备、管理制度等条件的，经形式审查后当场作出审批决定。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1.开展“双随机、一公开”监管，发现违法违规行为的要依法查处并公开结果。2.加强信用监管，向社会公布经营性中外合作职业技能培训机构信用状况，对失信主体开展联合惩戒。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人力资源服务许可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人力资源服务许可证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县级以上地方人力资源社会保障部门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《中华人民共和国就业促进法》《人力资源市场暂行条例》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有关单位承诺已具备明确的章程和管理制度、开展业务必备的固定场所和办公设施、一定数量具备相应职业资格的专职工作人员等条件的，经形式审查后当场作出审批决定。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1.开展“双随机、一公开”监管，发现违法违规行为的要依法查处并公开结果。2.加强信用监管，向社会公布人力资源服务机构信用状况，对失信主体开展联合惩戒。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城乡规划编制单位资质认定（乙级及以下）</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城乡规划编制资质证书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《中华人民共和国城乡规划法》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违反上级国土空间规划、未落实约束性指标和刚性管控要求的机构，实施重点监管。3.加强信用监管，向社会公布规划编制企业信用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辐射监测机构资质认定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省级生态环境部门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《中华人民共和国放射性污染防治法》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虚假承诺或严重不实的要依法处理。2.建立联合惩戒及信用共享机制，向社会公布监测机构信用状况，对失信主体进行联合惩戒，对严重失信的将违法违规信息纳入全国信用信息共享平台。3.推动企业信息公开，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从事放射性污染监测工作的机构资质认定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放射性污染监测资质许可证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《中华人民共和国放射性污染防治法》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1.完善放射性监测机构制度管理体系。2.生态环境部门会同有关部门加强对各类放射性监测机构的监督检查。3.推动企业信息公开，加强社会监督。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建筑业企业资质认定（建筑工程、市政公用工程施工总承包一级）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建筑业企业资质认定（施工总承包部分三级、专业承包部分三级、预拌混凝土、模板脚手架专业承包、燃气燃烧器具安装维修企业资质）</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建筑业企业资质认定（施工总承包部分二级、部分三级，专业承包部分一级、部分二级、部分三级，特种工程专业承包）</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建设工程勘察企业资质认定（乙级及以下、劳务）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工程勘察资质证书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《中华人民共和国建筑法》《建设工程勘察设计资质管理规定》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建设工程设计企业资质认定（部分乙级及以下）</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工程设计资质证书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《中华人民共和国建筑法》《建设工程勘察设计管理条例》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工程监理企业资质认定（房屋建筑工程、市政公用工程专业甲级）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工程监理资质证书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工程监理企业资质认定（专业乙级、丙级资质、事务所）</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工程监理资质证书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建筑施工企业安全生产许可证核发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建筑施工企业安全生产许可证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1.发现企业不符合承诺条件开展经营的责令限期整改，逾期不整改或整改后仍达不到要求的依法撤销许可证件。2.对企业安全生产管理不到位造成事故的，加大行政处罚力度。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从事生活垃圾（含粪便）经营性清扫、收集、运输、处理服务审批</w:t>
            </w:r>
          </w:p>
        </w:tc>
        <w:tc>
          <w:tcPr>
            <w:tcW w:w="765"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从事生活垃圾（含粪便）经营性清扫、收集、运输、处理服务许可证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县级以上地方住房城乡建设（环境卫生）部门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申请人承诺已经具备许可条件的，经形式审查后当场作出审批决定。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水运工程监理企业乙级资质认定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对水运工程监理企业取得乙级资质应当具备的条件（包括人员、业绩、设备等）实行告知承诺，经形式审查后当场作出审批决定。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水运工程监理企业丙级资质认定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对水运工程监理企业取得丙级资质应当具备的条件（包括人员、业绩、设备等）实行告知承诺，经形式审查后当场作出审批决定。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水运工程监理企业机电专项资质认定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对水运工程监理企业取得机电专项资质应当具备的条件（包括人员、业绩、设备等）实行告知承诺，经形式审查后当场作出审批决定。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公路工程专业丙级监理资质认定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《中华人民共和国公路法》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对公路工程监理企业取得丙级资质应当具备的条件和技术能力（包括人员、仪器设备等）实行告知承诺，经形式审查后当场作出审批决定。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道路货运经营许可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《中华人民共和国道路运输条例》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道路旅客运输站经营许可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《中华人民共和国道路运输条例》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港口（涉及客运和危险货物港口作业的经营项目除外）经营许可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港口经营许可证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省级交通运输部门或所在地港口部门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《中华人民共和国港口法》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1.推动实现申请、审批全程网上办理。2.对企业应当具备的条件和技术能力（包括人员、设施、设备等）实行告知承诺，经形式审查后当场作出审批决定。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1.对不符合承诺条件开展经营的要责令限期整改，逾期不整改或整改后仍达不到要求的，要依法撤销许可证件。2.加强信用监管，建立健全诚信管理制度，及时向社会公布港口企业信用状况。</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水利工程质量检测单位资质认定（乙级）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水利工程质量检测单位资质等级证书（乙级）</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省级水利部门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1.按照水利部统一制定的格式，编制告知承诺书。2.对水利工程质量检测单位（乙级）应当具备的条件和技术能力（包括人员、仪器设备、认证参数等）实行告知承诺，发证前不再进行审查，当场作出审批决定。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投诉举报多的单位实施重点监管，加强对企业承诺内容真实性的核查，发现虚假承诺或者承诺严重不实的要依法处理。2.加强信用监管，向社会公布水利工程质量检测单位（乙级）信用状况，对失信主体加大抽查比例并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生鲜乳准运证明核发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生鲜乳准运证明</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《乳品质量安全监督管理条例》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1.开展“双随机、一公开”监管，发现违法违规行为的要依法查处并公开结果。2.加强对生鲜乳运输车辆的监管，将车辆全部纳入监管监测信息系统，实时掌握运营情况。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2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兽药经营许可证核发（非生物制品类）</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一次性告知申请人申办兽药经营许可证应具备的条件和需提交的材料，申请人承诺符合条件并提交材料的，当场作出审批决定。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限非生物制品类、精神药品等特殊药品类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动物诊疗许可证核发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动物诊疗许可证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《中华人民共和国动物防疫法》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对动物诊疗机构应当具备的条件和技术能力（包括面积、选址、布局、设施设备、制度、人员要求等）实行告知承诺，申请人承诺符合条件并提交材料的，当场作出审批决定。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从事拍卖业务许可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拍卖经营批准证书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《中华人民共和国拍卖法》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法定代表人证明材料。2.对申请从事拍卖业务应当具备的条件和能力（法人资格、注册资本、固定场所、拟聘任拍卖师和相应管理制度等要求）实行告知承诺，发证前不再进行实质性审查，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1.加强部门间信息共享，统一归集企业信用信息，依法进行公示。2.完善拍卖企业年度核查制度。3.密切与有关部门的联系协调，加强跨部门监管。4.支持行业协会发挥自律作用。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旅行社设立许可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《中华人民共和国旅游法》《旅行社条例》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1.开展“双随机、一公开”监管，发现未经许可经营旅行社业务，出租、出借、转让业务经营许可证等违法违规行为的，要依法查处并公开结果。2.加强信用监管，对失信主体开展联合惩戒。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公共场所卫生许可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卫生许可证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《公共场所卫生管理条例》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对申办公共场所卫生许可应当具备的条件（空气、水质、采光、照明、噪音、顾客用具和卫生设施等符合卫生标准）实行告知承诺，经形式审查后当场作出审批决定。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1.开展“双随机、一公开”监管，发现违法违规行为的要依法查处并公开结果。2.加强信用监管，向社会公布卫生状况存在严重问题的公共场所信息。3.畅通投诉举报渠道，依法及时处理投诉举报。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公众聚集场所投入使用、营业前消防安全检查</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公众聚集场所投入使用、营业前消防安全检查合格证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设区的市、县级消防救援机构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《中华人民共和国消防法》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根据全国人大常委会授权决定，暂时调整适用《中华人民共和国消防法》关于“公众聚集场所投入使用、营业前消防安全检查”的规定，实行告知承诺：1.制定公众聚集场所消防安全标准并向社会公布，提供告知承诺书格式文本。2.对公众聚集场所是否符合消防安全标准的情况和需要提供的消防安全制度等申报材料实行告知承诺，消防救援机构不再进行实质性审查，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口岸卫生许可证（涉及公共场所）核发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国境口岸卫生许可证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主管海关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《中华人民共和国国境卫生检疫法实施细则》</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申请人承诺经营场所选址、内部布局、卫生设施、经营场所内微小气候、从业人员合格证明、卫生管理制度及卫生管理人员等已符合许可条件的，经形式审查后当场作出审批决定。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许可证的企业，加强对其承诺内容真实性的核查，发现虚假承诺或承诺严重不实的要依法处理。2.开展“双随机、一公开”监管，发现违法违规行为的要依法查处并公开结果。3.对许可证有效期届满延期换证的企业，在日常监管中核查承诺情况。</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检验检测机构资质认定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检验检测机构资质认定证书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市场监管总局；省级市场监管部门</w:t>
            </w:r>
          </w:p>
        </w:tc>
        <w:tc>
          <w:tcPr>
            <w:tcW w:w="1320" w:type="dxa"/>
            <w:tcMar>
              <w:top w:w="57" w:type="dxa"/>
              <w:left w:w="57" w:type="dxa"/>
              <w:bottom w:w="57" w:type="dxa"/>
              <w:right w:w="57" w:type="dxa"/>
            </w:tcMar>
            <w:vAlign w:val="center"/>
          </w:tcPr>
          <w:p>
            <w:pPr>
              <w:widowControl/>
              <w:spacing w:line="24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《中华人民共和国计量法》《中华人民共和国食品安全法》《中华人民共和国计量法实施细则》《中华人民共和国认证认可条例》《医疗器械监督管理条例》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出台检验检测机构资质认定告知承诺管理办法。2.对检验检测机构应当具备的条件和技术能力（包括人员、设备设施、环境、能力项目等）实行告知承诺，发证前不再进行现场审查，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1.开展“双随机、一公开”监管，对社会关注度高、风险等级高、投诉举报多的领域实施重点监管。 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设立认证机构（风险等级低）审批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认证机构批准书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《中华人民共和国认证认可条例》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行业发展状况和技术特点，全面梳理修订认证领域目录，按照必要性和最简化原则，对认证领域实施分类管理，对风险等级低的认证领域准入实行告知承诺。2.对认证机构应当具备的条件和技术能力（包括符合第三方要求的法人资格、注册资本、固定场所和必要设施、管理制度、专职认证人员要求）实行告知承诺，经形式审查后当场作出审批决定。3.取消认证机构在登记注册等环节已经提交的申请材料，压减审批材料数量30%以上。</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建立失信主体联合惩戒制度。</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食品相关产品生产许可证核发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食品相关产品生产许可证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《中华人民共和国食品安全法》《中华人民共和国工业产品生产许可证管理条例》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1.对通过告知承诺取得许可证（包括许可范围变更）的企业开展例行检查，发现虚假承诺或者承诺严重不实的要依法处理。2.对许可有效期届满延期换证的企业，在日常监管中核查承诺情况。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从事包装装潢印刷品和其他印刷品（不含商标、票据、保密印刷）印刷经营活动企业（不含外资企业）的设立、变更审批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音像制作单位设立、变更审批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音像制品制作许可证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1.明确设立条件、变更项目，公布承诺事项清单。2.对申请人承诺已具备人员、场所、技术设备等方面条件的，经形式审查后当场作出审批决定。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电子出版物制作单位设立、变更审批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电子出版物制作许可证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1.明确设立条件、变更项目，公布承诺事项清单。2.对申请人承诺已具备人员、场所、技术设备等方面条件的，经形式审查后当场作出审批决定。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出版物零售个体工商户设立、变更审批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公布告知承诺书示范文本，一次性告知审批条件和所需材料。申请人承诺已完成登记注册且已具备经营范围中含出版物零售业务、有固定的经营场所等条件的，经形式审查后当场作出审批决定。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69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林草种子（普通）生产经营许可证核发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县级以上地方林草部门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1.制作告知承诺书格式文本，编制告知承诺工作规程，完善办事指南。2.申请人承诺已具备相应场所、人员、设施设备、技术能力等条件的，经形式审查后当场作出审批决定。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1.开展“双随机、一公开”监管，发现违法违规行为的要依法查处并公开结果。2.制定核查办法，明确核查时间、标准、方式，优化现场检查程序。3.加强信用监管，建立企业信用档案并向社会公开。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国务院规定由国家林草局审批的国家重点保护陆生野生动物人工繁育许可证核发（已制定人工繁育技术标准的物种）</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国家重点保护陆生野生动物人工繁育许可证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国家林草局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申请人承诺将在规定期限内具备与繁育目的、种类、发展规模相适应的场所、设施、技术等条件的，经形式审查后当场作出审批决定。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1.严格落实行业标准和规范要求，加大监督检查力度。2.加强信用监管，对失信主体开展联合惩戒。3.组织开展行业培训。4.发挥行业协会自律作用。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3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权限内国家重点保护陆生野生动物人工繁育许可证核发（已制定人工繁育技术标准的物种和列入人工繁育国家重点保护陆生野生动物目录的物种）</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国家重点保护陆生野生动物人工繁育许可证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省级林草部门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申请人承诺将在规定期限内具备与繁育目的、种类、发展规模相适应的场所、设施、技术等条件的，经形式审查后当场作出审批决定。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1.严格落实行业标准和规范要求，加大监督检查力度。2.加强信用监管，对失信主体开展联合惩戒。3.组织开展行业培训。4.发挥行业协会自律作用。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1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药品互联网信息服务审批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互联网药品信息服务资格证书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《互联网信息服务管理办法》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对申请人承诺已经具备相关证明文件、资格证书、管理制度、网络与信息安全保障措施等条件的，经形式审查后当场作出审批决定。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医疗器械互联网信息服务审批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互联网药品信息服务资格证书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《互联网信息服务管理办法》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对申请人承诺已经具备相关证明文件、资格证书、管理制度、网络与信息安全保障措施等条件的，经形式审查后当场作出审批决定。</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医疗机构使用放射性药品（一、二类）许可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放射性药品使用许可证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对医疗机构应当具备的条件和技术能力（包括人员、仪器与设备、房屋设施等）实行告知承诺，发证前不再进行现场检查，经形式审查后当场作出审批决定。</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许可证的医疗机构，加强对其承诺真实性的核查，发现虚假承诺或承诺严重不实的要依法处理。2.加强药监、卫生健康、生态环境等部门间的协调配合，及时共享医疗机构使用放射性药品信息。3.加强对医疗机构使用放射性药品的日常监管。4.及时向社会公开许可证有关信息，加强社会监督。</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放射性药品（一 、二类）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专利代理机构执业许可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专利代理机构执业许可证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国家知识产权局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《专利代理条例》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1.修订专利代理审批事项服务指南，增加专利代理机构执业许可实行告知承诺制的相关规定。2.对申请办理专利代理机构执业许可证并作出承诺的，经形式审查后当场作出审批决定。</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以告知承诺方式取得执业许可证的专利代理机构，加强对其承诺内容真实性的核查，发现虚假承诺或者承诺不实的要依法处理。2.开展“双随机、一公开”监管，对通过投诉举报等渠道反映问题多的专利代理机构实施重点监管。3.加强信用监管，向社会公布专利代理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8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电影放映单位设立审批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电影放映经营许可证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县级电影主管部门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《中华人民共和国电影产业促进法》《电影管理条例》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1.出台电影放映单位设立告知承诺管理办法。2.有关单位承诺已具备人员、场所、技术和设备等条件的，经形式审查后当场作出审批决定。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电影放映单位（外商投资）设立审批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电影放映经营许可证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省级电影主管部门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1.出台外商投资电影院设立告知承诺管理办法。2.有关单位承诺已具备场所、投资比例限制、合作期限等许可条件的，经形式审查后当场作出审批决定。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774"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2019年版权责清单已新增此项职能，待正式发布后再新增到平台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人民防空工程设计甲级资质审批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人民防空工程建设设计资质证书（甲级资质）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国家人防办</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1.修订人民防空工程设计行政许可资质管理办法。2.对设计单位应当具备的条件和技术能力（包括符合第三方要求的法人资格、注册资本、资历、人员）实行告知承诺，经形式审查后当场作出审批决定。</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79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人民防空工程设计乙级资质审批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人民防空工程建设设计资质证书（乙级资质）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省级人防主管部门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1.修订人民防空工程设计行政许可资质管理办法。2.对设计单位应当具备的条件和技术能力（包括符合第三方要求的法人资格、注册资本、资历、人员）实行告知承诺，经形式审查后当场作出审批决定。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人民防空工程监理甲级资质审批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人民防空工程建设监理单位资质等级证书（甲级资质）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国家人防办</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人民防空工程监理乙级资质审批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人民防空工程建设监理单位资质等级证书（乙级资质）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省级人防主管部门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人民防空工程监理丙级资质审批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人民防空工程建设监理单位资质等级证书（丙级资质）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省级人防主管部门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508"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投诉举报和质量问题的企业实施重点监管。3.对人防监理企业的从业行为和服务质量实施“互联网+监管”，针对发现的普遍性问题和突发风险开展专项检查。4.加强信用监管，完善黑名单制度，建立失信主体联合惩戒制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6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实施中等及中等以下学历教育、学前教育、自学考试助学及其他文化教育的学校设立、变更和终止审批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中华人民共和国民办学校办学许可证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县级以上地方教育部门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《中华人民共和国民办教育促进法》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实施专科教育的高等学校和其他高等教育机构的设立、分立、合并、变更和终止审批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中华人民共和国民办学校办学许可证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省级人民政府或省级教育部门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《中华人民共和国民办教育促进法》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实验动物生产和使用许可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实验动物生产许可证、实验动物使用许可证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省级科技部门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《实验动物管理条例》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不再要求申请人提供营业执照复印件、工作人员体检证明、特殊工种证件复印件、经办人身份证复印件（含授权委托书）等材料。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1.开展“双随机、一公开”监管，发现违法违规行为的要依法查处并公开结果。2.依法及时处理投诉举报。3.对初次申请的，在现场评估时进行合规性核查。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食盐定点批发企业审批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食盐定点批发企业证书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省级盐业部门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《食盐专营办法》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1.严格执行有关法律法规和标准，对食盐定点批发企业加强监管。2.加强信用监管，向社会公布食盐定点批发企业信用状况，对失信主体开展联合惩戒。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食盐定点生产企业审批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食盐定点生产企业证书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省级盐业部门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 xml:space="preserve">《食盐专营办法》 </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1.严格执行有关法律法规和标准，对食盐定点生产企业加强监管。2.加强信用监管，向社会公布食盐定点生产企业信用状况，对失信主体开展联合惩戒。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电信业务（基础电信业务）经营许可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电信业务经营许可证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工业和信息化部；省级通信管理局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《中华人民共和国电信条例》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1.加强政务信息共享共用，不再要求申请人提供营业执照、人员身份证明等材料。2.健全有关管理平台，提升审批服务水平。</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89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电信业务（第一类增值电信业务）经营许可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电信业务经营许可证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工业和信息化部；省级通信管理局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《中华人民共和国电信条例》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1.加强政务信息共享共用，不再要求申请人提供营业执照、人员身份证明等材料。2.健全有关管理平台，提升审批服务水平。</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按照不同业务类型、信用水平等，合理确定抽查比例。2.加强对经营者经营行为的监测，督促经营者按照规定报送信息。3.对社会关注度高、有违法不良记录的经营者实施重点监管。4.加强行政执法，对违反电信管理规定的，依法查处并公开结果。5.加强信用监管，公布电信业务经营失信名单，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试办电信新业务备案核准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备案通知</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省级通信管理局</w:t>
            </w:r>
          </w:p>
        </w:tc>
        <w:tc>
          <w:tcPr>
            <w:tcW w:w="1320"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《中华人民共和国电信条例》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加强信息共享，对申请人在申请电信业务经营许可时已经提供的材料，不再要求重复提供。</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对经营者经营行为的监测，督促经营者按照规定报送信息。2.开展“双随机、一公开”监管，根据风险程度、信用水平等，合理确定抽查比例。3.加强行政执法，对违反电信管理规定的，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外商投资经营电信业务（基础电信业务）审批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外商投资经营电信业务审定意见书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工业和信息化部；省级通信管理局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《外商投资电信企业管理规定》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1.进一步简化申请表单，优化股东追溯流程，对于二级及以上中方股东不再要求提供相关证明材料，改为申请人作出相关承诺。2.健全有关管理平台，提升审批服务水平。</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开展“双随机、一公开”监管，对外资股东及其比例是否擅自变更、相关资格证明或者文件是否真实有效进行重点检查，发现违法违规行为的要依法查处并公开结果。</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外商投资经营电信业务（第一类增值电信业务）审批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外商投资经营电信业务审定意见书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工业和信息化部；省级通信管理局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《外商投资电信企业管理规定》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1.进一步简化申请表单，优化股东追溯流程，对于二级及以上中方股东不再要求提供相关证明材料，改为申请人作出相关承诺。2.健全有关管理平台，提升审批服务水平。</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开展“双随机、一公开”监管，对外资股东及其比例是否擅自变更、相关资格证明或者文件是否真实有效进行重点检查，发现违法违规行为的要依法查处并公开结果。</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电子认证服务许可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电子认证服务许可证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《中华人民共和国电子签名法》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1.优化审批流程，将工业和信息化部对申请企业进行审查和征求商务部意见两个环节由串联改为并联。2.将审批时限由45个工作日压减至40个工作日。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1.开展“双随机、一公开”监管，按照不同业务类型、信用水平等，合理确定抽查比例。2.加强信用监管，对失信主体开展联合惩戒。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1.开展“双随机、一公开”监管，发现违法违规行为的要依法依规查处并公开结果。2.依法从严查处未经许可生产民用爆炸物品、利用现场混装炸药作业系统非法生产工业炸药的行为。3.及时处理投诉举报。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民用爆炸物品安全生产许可证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省级民用爆炸物品行业主管部门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w:t>
            </w:r>
            <w:r>
              <w:rPr>
                <w:rFonts w:hint="eastAsia" w:ascii="Times New Roman" w:hAnsi="Times New Roman" w:eastAsia="方正书宋_GBK" w:cs="方正书宋_GBK"/>
                <w:color w:val="000000"/>
                <w:spacing w:val="-6"/>
                <w:kern w:val="0"/>
                <w:sz w:val="20"/>
                <w:szCs w:val="20"/>
                <w:lang w:bidi="ar"/>
              </w:rPr>
              <w:t>可证条例》《民</w:t>
            </w:r>
            <w:r>
              <w:rPr>
                <w:rFonts w:hint="eastAsia" w:ascii="Times New Roman" w:hAnsi="Times New Roman" w:eastAsia="方正书宋_GBK" w:cs="方正书宋_GBK"/>
                <w:color w:val="000000"/>
                <w:kern w:val="0"/>
                <w:sz w:val="20"/>
                <w:szCs w:val="20"/>
                <w:lang w:bidi="ar"/>
              </w:rPr>
              <w:t>用爆炸物品安全管理条例》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1.开展“双随机、一公开”监管和民用爆炸物品行业安全生产专项督查，发现违法违规行为的要依法查处并公开结果。2.及时处理投诉举报。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6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96</w:t>
            </w:r>
          </w:p>
        </w:tc>
        <w:tc>
          <w:tcPr>
            <w:tcW w:w="134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民用爆炸物品销售许可</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民用爆炸物品销售许可证</w:t>
            </w:r>
          </w:p>
        </w:tc>
        <w:tc>
          <w:tcPr>
            <w:tcW w:w="949"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省级民用爆炸物品行业主管部门</w:t>
            </w:r>
          </w:p>
        </w:tc>
        <w:tc>
          <w:tcPr>
            <w:tcW w:w="1320" w:type="dxa"/>
            <w:tcMar>
              <w:top w:w="57" w:type="dxa"/>
              <w:left w:w="57" w:type="dxa"/>
              <w:bottom w:w="57" w:type="dxa"/>
              <w:right w:w="57" w:type="dxa"/>
            </w:tcMar>
            <w:vAlign w:val="center"/>
          </w:tcPr>
          <w:p>
            <w:pPr>
              <w:widowControl/>
              <w:spacing w:line="26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《民用爆炸物品安全管理条例》</w:t>
            </w: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6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6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1.取消申请许可时“从事配送业务的必须具备押运员、驾驶员以及符合特定的爆炸物品专用运输车辆”的要求。2.将民用爆炸物品销售许可证年检制度改为年度报告制度。</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1.开展“双随机、一公开”监管，发现违法违规销售民用爆炸物品</w:t>
            </w:r>
            <w:r>
              <w:rPr>
                <w:rFonts w:hint="eastAsia" w:ascii="Times New Roman" w:hAnsi="Times New Roman" w:eastAsia="方正书宋_GBK" w:cs="方正书宋_GBK"/>
                <w:color w:val="000000"/>
                <w:spacing w:val="-2"/>
                <w:kern w:val="0"/>
                <w:sz w:val="20"/>
                <w:szCs w:val="20"/>
                <w:lang w:bidi="ar"/>
              </w:rPr>
              <w:t>（包括硝酸铵）行为的要依法查处</w:t>
            </w:r>
            <w:r>
              <w:rPr>
                <w:rFonts w:hint="eastAsia" w:ascii="Times New Roman" w:hAnsi="Times New Roman" w:eastAsia="方正书宋_GBK" w:cs="方正书宋_GBK"/>
                <w:color w:val="000000"/>
                <w:kern w:val="0"/>
                <w:sz w:val="20"/>
                <w:szCs w:val="20"/>
                <w:lang w:bidi="ar"/>
              </w:rPr>
              <w:t>并公开结果。2.及时处理投诉举报。</w:t>
            </w:r>
          </w:p>
        </w:tc>
        <w:tc>
          <w:tcPr>
            <w:tcW w:w="774" w:type="dxa"/>
            <w:tcMar>
              <w:top w:w="57" w:type="dxa"/>
              <w:left w:w="57" w:type="dxa"/>
              <w:bottom w:w="57" w:type="dxa"/>
              <w:right w:w="57" w:type="dxa"/>
            </w:tcMar>
            <w:vAlign w:val="center"/>
          </w:tcPr>
          <w:p>
            <w:pPr>
              <w:spacing w:line="26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4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非经营性互联网信息服务备案核准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备案号</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省级通信管理局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《互联网信息服务管理办法》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1.开展互联网信息服务备案用户真实身份电子化核验试点，通过人脸识别等技术手段采集确认用户真实身份信息。2.健全有关管理系统，进一步完善网站迁出、备案迁移等业务流程，实现多项业务一次申请。</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督促企业及时更正错误的备案信息，发现违法违规行为的要依法查处并公开结果。2.依法处理投诉举报，对于多次被投诉举报的接入服务企业实施重点监管。3.开展互联网违法违规行为专项治理。4.利用技术手段提高监管有效性，及时处置违法违规互联网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4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互联网域名根服务器设置及其运行机构和注册管理机构的设立审批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w:t>
            </w:r>
            <w:r>
              <w:rPr>
                <w:rFonts w:hint="eastAsia" w:ascii="Times New Roman" w:hAnsi="Times New Roman" w:eastAsia="方正书宋_GBK" w:cs="方正书宋_GBK"/>
                <w:color w:val="000000"/>
                <w:spacing w:val="-6"/>
                <w:kern w:val="0"/>
                <w:sz w:val="20"/>
                <w:szCs w:val="20"/>
                <w:lang w:bidi="ar"/>
              </w:rPr>
              <w:t>送短信等方式提醒申请人按时递交材料、领取批文等。</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1.开展“双随机、一公开”监管，发现违法违规行为的要依法查处并公开结果。2.及时处理投诉举报。3.督促企业按照有关要求定期报送信息。4.利用技术手段提高监管有效性，及时处置违法违规行为。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9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99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设立互联网域名注册服务机构审批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省级通信管理局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健全有关管理系统，简化申请材料，不再要求申请人提供人员学历、劳动合同、规章制度、服务模板等材料。2.通过系统自动导入功能，将申请人之前填写内容自动导入申请表格，方便申请人修改，支持大数据附件上传功能。3.设定流程审核时限，通过短信提醒等方式督促申请人按时办结。4.实现审批全流程监控，通过发送短信等方式提醒申请人按时递交材料、领取批文等。</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1.开展“双随机、一公开”监管，发现违法违规行为的要依法查处并公开结果。2.及时处理投诉举报。3.督促企业按照有关要求定期报送信息。4.利用技术手段提高监管有效性，及时处置违法违规行为。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2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道路机动车辆生产企业许可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公告</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《中华人民共和国道路交通安全法》《国务院对确需保留的行政审批项目设定行政许可的决定》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将产品参数变更扩展由审批改为备案，推行集团化管理和系族车型管理。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1.开展“双随机、一公开”监管，发现违法违规行为的要依法查处并公开结果。2.建立车辆信用信息管理体系，会同有关部门开展联合监管。</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仅限生产企业许可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第二类监控化学品经营许可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第二类监控化学品经营许可证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省级化学工业主管部门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《中华人民共和国监控化学品管理条例》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1.开展“双随机、一公开”监管，依法查处违法违规经营活动并公开结果。2.加强信用监管，对失信主体开展联合惩戒。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3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第二、三类监控化学品和第四类监控化学品中含磷、硫、氟的特定有机化学品生产特别许可（初审）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省级化学工业主管部门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《中华人民共和国监控化学品管理条例》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不再要求申请人提供车间平面布置图。</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1.开展“双随机、一公开”监管，依法查处违法违规生产活动并公开结果。2.对失信主体开展联合惩戒。</w:t>
            </w:r>
          </w:p>
        </w:tc>
        <w:tc>
          <w:tcPr>
            <w:tcW w:w="774"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7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第二、三类监控化学品和第四类监控化学品中含磷、硫、氟的特定有机化学品生产特别许可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监控化学品生产特别许可证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工业和信息化部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《中华人民共和国监控化学品管理条例》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不再要求申请人提供车间平面布置图。</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1.开展“双随机、一公开”监管，依法查处违法违规生产活动并公开结果。2.对失信主体开展联合惩戒。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8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保安服务公司设立许可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保安服务许可证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《保安服务管理条例》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1.不再要求申请人提供相关人员工作经验证明和无故意犯罪记录证明等材料。2.将审批时限由30个工作日压减至20个工作日。3.制定公布办事指南，推广网上办理。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1.开展“双随机、一公开”监管、重点监管，及时处理投诉举报，依法查处违法违规行为。2.加强信用监管，建立企业信用档案并向社会公开信用记录，对失信主体开展联合惩戒。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8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爆破作业单位许可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爆破作业单位许可证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《民用爆炸物品安全管理条例》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不再要求申请者提供爆破作业业绩证明、技术负责人从业经历证明、从业人员资格证明等材料。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1.开展“双随机、一公开”监管，依法查处违法违规行为。2.利用技术手段开展检查，发现不符合资质条件规定的要依法处理。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8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营业性射击场的设立审批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《中华人民共和国枪支管理法》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实行申请、审批全程网上办理。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1.开展“双随机、一公开”监管，依法查处违法违规行为。2.及时处理投诉举报。3.通过有关信息系统对企业上报的数据进行核查。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8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民用枪支（弹药）制造许可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民用枪支（弹药）制造许可证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公安部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《中华人民共和国枪支管理法》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1.实行申请、审批全程网上办理。2.不再要求申请人提供技术鉴定文件。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1.开展“双随机、一公开”监管，依法查处违法违规行为。2.及时处理投诉举报。3.通过有关信息系统对企业上报的数据进行核查。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民用枪支（弹药）配售许可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民用枪支（弹药）配售许可证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《中华人民共和国枪支管理法》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实行申请、审批全程网上办理。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1.开展“双随机、一公开”监管，依法查处违法违规行为。2.及时处理投诉举报。3.通过有关信息系统对企业上报的数据进行核查。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4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109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弩的制造、销售、进口、运输、使用审批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省级公安机关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1.实行申请、审批全程网上办理。2.不再要求申请人提供营业执照、无违法犯罪记录证明、批准立项文件。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1.开展“双随机、一公开”监管，依法查处违法违规行为。2.及时处理投诉举报。3.通过有关信息系统对企业上报的数据进行核查。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7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计算机信息系统安全专用产品销售许可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计算机信息系统安全专用产品销售许可证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公安部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《中华人民共和国计算机信息系统安全保护条例》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1.不再要求申请人提供营业执照、商用密码产品型号证书等材料。2.将审批时限由15个工作日压减至10个工作日。3.实行申请、审批全程网上办理。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每年组织开展信息安全行业产品抽查工作，对产品不合格的企业进行全国通报，并责令其限期整改，对违规生产、销售的企业要依法查处。2.加强对计算机信息系统安全专用产品有关检测机构的监管，依法及时处理投诉举报，发现违法违规行为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建设殡仪馆、火葬场、殡仪服务站、骨灰堂、经营性公墓、农村公益性墓地审批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省、设区的市、县级民政部门；设区的市、县级人民政府</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《殡葬管理条例》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1.完善殡葬设施规划，通过规划对殡葬设施进行总量控制。2.加快殡葬信息化建设，推动实现审批全程网上办理。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1.开展“双随机、一公开”监管，建立完善殡葬服务企业随机抽查事项清单，增强监管效能。2.强化公墓年检制度，对违规建设经营行为完善处罚机制和措施。3.推进跨部门联合监管。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设立免税场所事项审批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财政部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1.网上公布审批程序、办理依据、申请条件、申请材料等信息。2.不再要求申请人提供特许经营费缴纳情况等材料。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1.建立健全部门间监管协调机制，依据职责分工加强联合监管。2.开展定期或不定期检查，发现违法违规行为交由有关部门依法查处。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会计师事务所设立审批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会计师事务所执业证书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省级财政部门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《中华人民共和国注册会计师法》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1.实现申请、审批全程网上办理。2.将审批时限由30个工作日压减至15个工作日。3.2020年底前实现会计师事务所执业许可证书电子化。</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1.开展“双随机、一公开”监管，并根据会计师事务所受到处罚情况、其他部门移交线索、群众举报等实施重点监管。2.定期对会计师事务所符合执业许可情况开展专项检查。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6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设立技工学校审批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办学许可证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省级人力资源社会保障部门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1.实现全程网上办理。2.不再要求申请人提供在登记注册等环节已经提交过的材料。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1.开展“双随机、一公开”监管。2.通过检查考核或投诉举报件专查等方式，进行有效监管，发现违法违规行为的要依法查处并公开结果。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1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设立技师学院审批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办学许可证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省级人民政府</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1.实现申请网上办理。2.不再要求申请人提供在登记注册等环节已经提交过的材料。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1.开展“双随机、一公开”监管。2.通过检查考核或投诉举报件专查等方式，进行有效监管，发现违法违规行为的要依法查处并公开结果。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6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企业年金基金管理机构资格认定（国家级）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企业年金基金管理机构资格证书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人力资源社会保障部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1.每年更新发布存量情况，实时更新基金管理机构及资格变动情况。2.拟新增许可企业时，提前2个月在网上公布受理时间、受理条件、办理标准、本次增加数量等内容。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年金基金管理合同和养老金产品备案管理，依法依规对年金基金管理机构的市场行为进行日常监管。3.加强“互联网+监管”，通过跨部门联合监管等方式进行有效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企业年金基金管理机构资格延续认定（国家级）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企业年金基金管理机构资格证书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人力资源社会保障部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1.每年更新发布存量情况，实时更新基金管理机构及资格变动情况。2.拟新增许可企业时，提前2个月在网上公布受理时间、受理条件、办理标准、本次增加数量等内容。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年金基金管理合同和养老金产品备案管理，依法依规对年金基金管理机构的市场行为进行日常监管。3.加强“互联网+监管”，通过跨部门联合监管等方式进行有效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劳务派遣经营许可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劳务派遣经营许可证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县级以上地方人力资源社会保障部门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《中华人民共和国劳动合同法》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1.开展“双随机、一公开”监管，发现违法违规行为的要依法查处。2.加强信用监管，向社会公布劳务派遣企业信用状况，对失信主体开展联合惩戒。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4"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119</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以技能为主的国外职业资格证书及发证机构资格审核和注册</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人力资源社会保障部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1.暂时调整适用《国务院对确需保留的行政审批项目设定行政许可的决定》中关于审批权限的规定，将审批权限由人力资源社会保障部下放至省级人力资源社会保障部门。2.实现申请、审批全程网上办理。</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开展“双随机、一公开”监管，对通过投诉举报等渠道反映问题多的机构实施重点监管，发现违法违规行为的，依法查处并公开结果。</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120</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地质灾害危险性评估单位甲级资质审批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自然资源部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《地质灾害防治条例》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不再要求申请人提供设立单位批准文件、法定代表人和技术负责人简历、法定代表人任命和聘任文件、技术人员从事地质灾害防治技术工作5年以上证明文件等材料。</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121</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地质灾害治理工程勘查单位甲级资质审批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自然资源部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《地质灾害防治条例》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sz w:val="20"/>
                <w:szCs w:val="20"/>
              </w:rPr>
            </w:pPr>
            <w:r>
              <w:rPr>
                <w:rFonts w:hint="eastAsia" w:ascii="Times New Roman" w:hAnsi="Times New Roman" w:eastAsia="方正书宋_GBK" w:cs="方正书宋_GBK"/>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122</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地质灾害治理工程设计单位</w:t>
            </w:r>
            <w:r>
              <w:rPr>
                <w:rFonts w:hint="eastAsia" w:ascii="Times New Roman" w:hAnsi="Times New Roman" w:eastAsia="方正书宋_GBK" w:cs="方正书宋_GBK"/>
                <w:kern w:val="0"/>
                <w:sz w:val="20"/>
                <w:szCs w:val="20"/>
                <w:lang w:bidi="ar"/>
              </w:rPr>
              <w:t>甲级</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123</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地质灾害治理工程施工单位</w:t>
            </w:r>
            <w:r>
              <w:rPr>
                <w:rFonts w:hint="eastAsia" w:ascii="Times New Roman" w:hAnsi="Times New Roman" w:eastAsia="方正书宋_GBK" w:cs="方正书宋_GBK"/>
                <w:kern w:val="0"/>
                <w:sz w:val="20"/>
                <w:szCs w:val="20"/>
                <w:lang w:bidi="ar"/>
              </w:rPr>
              <w:t>甲级</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124</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地质灾害治理工程监理单位</w:t>
            </w:r>
            <w:r>
              <w:rPr>
                <w:rFonts w:hint="eastAsia" w:ascii="Times New Roman" w:hAnsi="Times New Roman" w:eastAsia="方正书宋_GBK" w:cs="方正书宋_GBK"/>
                <w:kern w:val="0"/>
                <w:sz w:val="20"/>
                <w:szCs w:val="20"/>
                <w:lang w:bidi="ar"/>
              </w:rPr>
              <w:t>甲级</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地质灾害危险性评估单位</w:t>
            </w:r>
            <w:r>
              <w:rPr>
                <w:rFonts w:hint="eastAsia" w:ascii="Times New Roman" w:hAnsi="Times New Roman" w:eastAsia="方正书宋_GBK" w:cs="方正书宋_GBK"/>
                <w:kern w:val="0"/>
                <w:sz w:val="20"/>
                <w:szCs w:val="20"/>
                <w:lang w:bidi="ar"/>
              </w:rPr>
              <w:t>乙级及以下</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不再要求申请人提供设立单位批准文件、法定代表人和技术负责人简历、法定代表人任命和聘任文件、技术人员从事地质灾害防治技术工作5年以上证明文件等材料。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地质灾害治理工程勘查单位</w:t>
            </w:r>
            <w:r>
              <w:rPr>
                <w:rFonts w:hint="eastAsia" w:ascii="Times New Roman" w:hAnsi="Times New Roman" w:eastAsia="方正书宋_GBK" w:cs="方正书宋_GBK"/>
                <w:kern w:val="0"/>
                <w:sz w:val="20"/>
                <w:szCs w:val="20"/>
                <w:lang w:bidi="ar"/>
              </w:rPr>
              <w:t>乙级及以下</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地质灾害治理工程设计单位</w:t>
            </w:r>
            <w:r>
              <w:rPr>
                <w:rFonts w:hint="eastAsia" w:ascii="Times New Roman" w:hAnsi="Times New Roman" w:eastAsia="方正书宋_GBK" w:cs="方正书宋_GBK"/>
                <w:kern w:val="0"/>
                <w:sz w:val="20"/>
                <w:szCs w:val="20"/>
                <w:lang w:bidi="ar"/>
              </w:rPr>
              <w:t>乙级及以下</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地质灾害治理工程施工单位</w:t>
            </w:r>
            <w:r>
              <w:rPr>
                <w:rFonts w:hint="eastAsia" w:ascii="Times New Roman" w:hAnsi="Times New Roman" w:eastAsia="方正书宋_GBK" w:cs="方正书宋_GBK"/>
                <w:kern w:val="0"/>
                <w:sz w:val="20"/>
                <w:szCs w:val="20"/>
                <w:lang w:bidi="ar"/>
              </w:rPr>
              <w:t>乙级及以下</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129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地质灾害治理工程监理单位</w:t>
            </w:r>
            <w:r>
              <w:rPr>
                <w:rFonts w:hint="eastAsia" w:ascii="Times New Roman" w:hAnsi="Times New Roman" w:eastAsia="方正书宋_GBK" w:cs="方正书宋_GBK"/>
                <w:kern w:val="0"/>
                <w:sz w:val="20"/>
                <w:szCs w:val="20"/>
                <w:lang w:bidi="ar"/>
              </w:rPr>
              <w:t>乙级及以下</w:t>
            </w:r>
            <w:r>
              <w:rPr>
                <w:rFonts w:hint="eastAsia" w:ascii="Times New Roman" w:hAnsi="Times New Roman" w:eastAsia="方正书宋_GBK" w:cs="方正书宋_GBK"/>
                <w:color w:val="000000"/>
                <w:kern w:val="0"/>
                <w:sz w:val="20"/>
                <w:szCs w:val="20"/>
                <w:lang w:bidi="ar"/>
              </w:rPr>
              <w:t>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地质灾害防治单位资质证书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《地质灾害防治条例》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不再要求申请人提供设立单位批准文件、法定代表人和技术负责人简历、法定代表人任命和聘任文件等材料。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地质勘查标准和规范，对企业执行标准规范情况加强监管。2.开展“双随机、一公开”监管，对违法违规企业依法查处并公开结果。3.强化信用监管，向社会公布地质勘查企业信用状况，推行地质勘查单位黑名单制度，对失信主体开展联合惩戒。4.充分发挥行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7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城乡规划编制单位甲级资质认定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城乡规划编制资质证书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《中华人民共和国城乡规划法》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1.修改完善城乡规划编制单位资质管理规定。2.实现申请、审批全程网上办理并在网上公布审批程序、受理条件、办理标准。3.将审批时限由20个工作日压减至15个工作日。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1.开展“双随机、一公开”监管，对违法违规行为要依法查处并公开结果。2.对有投诉举报和质量问题的企业实施重点监管。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勘查矿产资源审批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矿产资源勘查许可证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不再要求申请人提供符合国家限制及政策调控申请条件等材料。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1.开展“双随机、一公开”监管，对违法违规探矿的要依法查处并公开结果。2.利用有关信息系统实现矿业权人勘查开采信息公示等，加强对探矿权人行为的监管。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新设探矿权登记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矿产资源勘查许可证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积极探索采取委托等方式，将探矿权变更、延续、保留、注销登记等事项的审批权限下放至设区的市级自然资源部门。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1.开展“双随机、一公开”监管，对违法违规探矿的要依法查处并公开结果。2.利用有关信息系统实现矿业权人勘查开采信息公示等，加强对探矿权人行为的监管。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探矿权延续登记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矿产资源勘查许可证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积极探索采取委托等方式，将探矿权变更、延续、保留、注销登记等事项的审批权限下放至设区的市级自然资源部门。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1.开展“双随机、一公开”监管，对违法违规探矿的要依法查处并公开结果。2.利用有关信息系统实现矿业权人勘查开采信息公示等，加强对探矿权人行为的监管。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探矿权保留登记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矿产资源勘查许可证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积极探索采取委托等方式，将探矿权变更、延续、保留、注销登记等事项的审批权限下放至设区的市级自然资源部门。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1.开展“双随机、一公开”监管，对违法违规探矿的要依法查处并公开结果。2.利用有关信息系统实现矿业权人勘查开采信息公示等，加强对探矿权人行为的监管。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探矿权注销登记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矿产资源勘查许可证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积极探索采取委托等方式，将探矿权变更、延续、保留、注销登记等事项的审批权限下放至设区的市级自然资源部门。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1.开展“双随机、一公开”监管，对违法违规探矿的要依法查处并公开结果。2.利用有关信息系统实现矿业权人勘查开采信息公示等，加强对探矿权人行为的监管。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探矿权变更登记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矿产资源勘查许可证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积极探索采取委托等方式，将探矿权变更、延续、保留、注销登记等事项的审批权限下放至设区的市级自然资源部门。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1.开展“双随机、一公开”监管，对违法违规探矿的要依法查处并公开结果。2.利用有关信息系统实现矿业权人勘查开采信息公示等，加强对探矿权人行为的监管。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新设采矿权登记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按照有关授权，将省级自然资源部门负责的部分矿产采矿权延续、变更、注销登记等事项的审批权限下放至设区的市、县级自然资源部门。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1.开展“双随机、一公开”监管，对违法违规采矿的要依法查处并公开结果。2.利用有关信息系统实现矿业权人勘查开采信息公示等，加强对采矿权人行为的监管。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采矿权延续登记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按照有关授权，将省级自然资源部门负责的部分矿产采矿权延续、变更、注销登记等事项的审批权限下放至设区的市、县级自然资源部门。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1.开展“双随机、一公开”监管，对违法违规采矿的要依法查处并公开结果。2.利用有关信息系统实现矿业权人勘查开采信息公示等，加强对采矿权人行为的监管。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139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采矿权变更登记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按照有关授权，将省级自然资源部门负责的部分矿产采矿权延续、变更、注销登记等事项的审批权限下放至设区的市、县级自然资源部门。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1.开展“双随机、一公开”监管，对违法违规采矿的要依法查处并公开结果。2.利用有关信息系统实现矿业权人勘查开采信息公示等，加强对采矿权人行为的监管。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采矿权注销登记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按照有关授权，将省级自然资源部门负责的部分矿产采矿权延续、变更、注销登记等事项的审批权限下放至设区的市、县级自然资源部门。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1.开展“双随机、一公开”监管，对违法违规采矿的要依法查处并公开结果。2.利用有关信息系统实现矿业权人勘查开采信息公示等，加强对采矿权人行为的监管。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开采矿产资源审批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采矿许可证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《中华人民共和国矿产资源法》《中华人民共和国矿产资源法实施细则》《矿产资源勘查区块登记管理办法》《探矿权采矿权转让管理办法》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不再要求申请人提供符合国家限制及政策调控申请条件等材料。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1.开展“双随机、一公开”监管，对违法违规采矿的要依法查处并公开结果。2.利用有关信息系统实现矿业权人勘查开采信息公示等，加强对采矿权人行为的监管。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从事测绘活动的单位测绘资质审批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测绘资质证书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自然资源部；省级自然资源部门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《中华人民共和国测绘法》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1.不再要求申请人提供法定代表人简历、任命或聘任文件，测绘仪器检定证书，专业技术人员技术岗位工作年限证明等材料。2.将审批时限由20个工作日压减至15个工作日。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通过投诉举报等渠道反映问题多的测绘单位实施重点监管。3.加强信用监管，向社会公布测绘单位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深海海底区域资源勘探开发许可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深海海底区域资源勘探证书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自然资源部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《中华人民共和国深海海底区域资源勘探开发法》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优化办事流程，实现申请、审批全程网上办理。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要依法查处并公开结果。2.对通过投诉举报等渠道反映问题多的申请主体实施重点监管。3.强化信用监管，向社会公布深海海底区域资源勘探开发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民用核材料许可证核准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《中华人民共和国核材料管理条例》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1.将生态环境部门和其他有关部门对申请材料的审查从串联办理改为并联办理。2.将审批时限由180天压减至150天。</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1.出台核材料管制相关办法，明确监管规则，加强监管。2.将民用核材料使用单位全面纳入核安全例行监督检查范围，发现违法违规行为的要依法查处并公开结果。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民用核安全设备设计单位许可证核发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民用核安全设备设计许可证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《中华人民共和国核安全法》《民用核安全设备监督管理条例》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1.实现申请、审批全程网上办理。2.不再要求申请单位提交营业执照、核级焊工焊接操作工资格证书、核级无损检验人员资格证书和计量人员、理化检验人员资格证书复印件等材料。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1.严格执行相关法律法规规定，对违法违规企业依法查处。2.依法及时处理举报、信访问题，调查处理结果向社会公开，对投诉举报和反映质量问题较多的企业实施重点监管。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民用核安全设备制造单位许可证核发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民用核安全设备制造许可证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《中华人民共和国核安全法》《民用核安全设备监督管理条例》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1.实现申请、审批全程网上办理。2.不再要求申请单位提交营业执照、核级焊工焊接操作工资格证书、核级无损检验人员资格证书和计量人员、理化检验人员资格证书复印件等材料。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1.严格执行相关法律法规规定，对违法违规企业依法查处。2.依法及时处理举报、信访问题，调查处理结果向社会公开，对投诉举报和反映质量问题较多的企业实施重点监管。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民用核安全设备安装单位许可证核发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民用核安全设备安装许可证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《中华人民共和国核安全法》《民用核安全设备监督管理条例》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1.实现申请、审批全程网上办理。2.不再要求申请单位提交营业执照、核级焊工焊接操作工资格证书、核级无损检验人员资格证书和计量人员、理化检验人员资格证书复印件等材料。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1.严格执行相关法律法规规定，对违法违规企业依法查处。2.依法及时处理举报、信访问题，调查处理结果向社会公开，对投诉举报和反映质量问题较多的企业实施重点监管。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民用核安全设备无损检验单位许可证核发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民用核安全设备无损检验许可证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《中华人民共和国核安全法》《民用核安全设备监督管理条例》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1.实现申请、审批全程网上办理。2.不再要求申请单位提交营业执照、核级焊工焊接操作工资格证书、核级无损检验人员资格证书和计量人员、理化检验人员资格证书复印件等材料。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1.严格执行相关法律法规规定，对违法违规企业依法查处。2.依法及时处理举报、信访问题，调查处理结果向社会公开，对投诉举报和反映质量问题较多的企业实施重点监管。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149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为境内民用核设施进行核安全设备设计、制造、安装和无损检验活动的境外单位注册登记审批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民用核安全设备活动境外单位注册登记确认书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《中华人民共和国核安全法》《民用核安全设备监督管理条例》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1.实现申请、审批全程网上办理。2.不再要求申请单位提交营业执照、核级焊工焊接操作工资格证书、核级无损检验人员资格证书和计量人员、理化检验人员资格证书复印件等材料。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1.严格执行相关法律法规规定，查处违法违规企业并向社会公开结果。2.依法及时处理举报、信访问题，对投诉举报和反映质量问题较多的企业实施重点监管。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5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生产放射性同位素（除医疗自用的短半衰期放射性药物外）许可证核发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辐射安全许可证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生态环境部；省级生态环境部门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《中华人民共和国放射性污</w:t>
            </w:r>
            <w:r>
              <w:rPr>
                <w:rFonts w:hint="eastAsia" w:ascii="Times New Roman" w:hAnsi="Times New Roman" w:eastAsia="方正书宋_GBK" w:cs="方正书宋_GBK"/>
                <w:color w:val="000000"/>
                <w:spacing w:val="-6"/>
                <w:kern w:val="0"/>
                <w:sz w:val="20"/>
                <w:szCs w:val="20"/>
                <w:lang w:bidi="ar"/>
              </w:rPr>
              <w:t>染防治法》《放</w:t>
            </w:r>
            <w:r>
              <w:rPr>
                <w:rFonts w:hint="eastAsia" w:ascii="Times New Roman" w:hAnsi="Times New Roman" w:eastAsia="方正书宋_GBK" w:cs="方正书宋_GBK"/>
                <w:color w:val="000000"/>
                <w:kern w:val="0"/>
                <w:sz w:val="20"/>
                <w:szCs w:val="20"/>
                <w:lang w:bidi="ar"/>
              </w:rPr>
              <w:t>射性同位素与射线装置安全和防护条例》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暂时调整适用《放射性同位素与射线装置安全和防护条例》中关于审批权限的规定，将场所等级属于乙级、丙级的生产放射性同位素单位的审批权限由生态环境部下放至省级生态环境部门。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出台有关技术导则、操作标准、技术程序，进一步规范地方生态环境部门审批及监管工作。2.严格执行有关法律法规和标准，开展“双随机、一公开”监管，发现违法违规问题严格依法处罚并公开结果。3.加强对有关生态环境部门人员的培训，提升监管能力。</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5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销售、使用Ⅰ类放射源（医疗使用Ⅰ类放射源除外）和Ⅰ类射线装置单位的辐射安全许可证核发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辐射安全许可证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《中华人民共和国放射性污</w:t>
            </w:r>
            <w:r>
              <w:rPr>
                <w:rFonts w:hint="eastAsia" w:ascii="Times New Roman" w:hAnsi="Times New Roman" w:eastAsia="方正书宋_GBK" w:cs="方正书宋_GBK"/>
                <w:color w:val="000000"/>
                <w:spacing w:val="-6"/>
                <w:kern w:val="0"/>
                <w:sz w:val="20"/>
                <w:szCs w:val="20"/>
                <w:lang w:bidi="ar"/>
              </w:rPr>
              <w:t>染防治法》《放</w:t>
            </w:r>
            <w:r>
              <w:rPr>
                <w:rFonts w:hint="eastAsia" w:ascii="Times New Roman" w:hAnsi="Times New Roman" w:eastAsia="方正书宋_GBK" w:cs="方正书宋_GBK"/>
                <w:color w:val="000000"/>
                <w:kern w:val="0"/>
                <w:sz w:val="20"/>
                <w:szCs w:val="20"/>
                <w:lang w:bidi="ar"/>
              </w:rPr>
              <w:t>射性同位素与射线装置安全和防护条例》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不再要求申请人提供生态环境部门批复的环境影响评价文件，改为生态环境部门之间信息共享获取。</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开展“双随机、一公开”监管，发现违法违规问题要严格依法查处并公开结果。2.生态环境部和省级生态环境部门加强信息数据互联互通，方便获取有关信息。3.加强对有关生态环境部门人员的培训，提升监管能力。</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1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医疗使用I类放射源，制备正电子发射计算机断层扫描用放射性药物自用，销售、使用Ⅱ、Ⅲ、Ⅳ、Ⅴ类放射源，生产、销</w:t>
            </w:r>
            <w:r>
              <w:rPr>
                <w:rFonts w:hint="eastAsia" w:ascii="Times New Roman" w:hAnsi="Times New Roman" w:eastAsia="方正书宋_GBK" w:cs="方正书宋_GBK"/>
                <w:color w:val="000000"/>
                <w:spacing w:val="-11"/>
                <w:kern w:val="0"/>
                <w:sz w:val="20"/>
                <w:szCs w:val="20"/>
                <w:lang w:bidi="ar"/>
              </w:rPr>
              <w:t>售和使用Ⅱ、Ⅲ类</w:t>
            </w:r>
            <w:r>
              <w:rPr>
                <w:rFonts w:hint="eastAsia" w:ascii="Times New Roman" w:hAnsi="Times New Roman" w:eastAsia="方正书宋_GBK" w:cs="方正书宋_GBK"/>
                <w:color w:val="000000"/>
                <w:kern w:val="0"/>
                <w:sz w:val="20"/>
                <w:szCs w:val="20"/>
                <w:lang w:bidi="ar"/>
              </w:rPr>
              <w:t>射线装置的单位的辐射安全许可证核发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辐射安全许可证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省级生态环境部门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《中华人民共和国放射性污染防治法》</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《放射性同位素与射线装置安全和防护条例》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暂时调整适用《放射性同位素与射线装置安全和防护条例》中关于审批权限的规定，将使用Ⅳ、Ⅴ类放射源和使用Ⅲ类射线装置单位的审批权限由省级生态环境部门下放至设区的市级生态环境部门。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I类放射性物品运输容器制造许可证核发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I类放射性物品运输容器制造许可证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《放射性物品运输安全管理条例》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52"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1.实现申请、审批全程网上办理。2.不再要求申请单位提交营业执照、核级焊工焊接操作工资格证书、核级无损检验人员资格证书和计量人员、理化检验人员资格证书复印件等材料。</w:t>
            </w:r>
          </w:p>
        </w:tc>
        <w:tc>
          <w:tcPr>
            <w:tcW w:w="3015" w:type="dxa"/>
            <w:tcMar>
              <w:top w:w="57" w:type="dxa"/>
              <w:left w:w="57" w:type="dxa"/>
              <w:bottom w:w="57" w:type="dxa"/>
              <w:right w:w="57" w:type="dxa"/>
            </w:tcMar>
            <w:vAlign w:val="center"/>
          </w:tcPr>
          <w:p>
            <w:pPr>
              <w:widowControl/>
              <w:spacing w:line="252"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相关法律法规要求，对持证企业加强监督管理。2.对违法违规企业严格按照有关规定进行处理。3.依法及时处理举报、信访问题，调查处理结果向社会公开，对投诉举报和反映质量问题较多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设立专门从事放射性固体废物贮存、处置单位许可</w:t>
            </w:r>
          </w:p>
        </w:tc>
        <w:tc>
          <w:tcPr>
            <w:tcW w:w="765"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放射性固体废物贮存、处置许可证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《中华人民共和国放射性污染防治法》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52"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1.实现申请、审批全程网上办理。2.将放射性固体废物贮存、处置许可证与设施的安全许可审查合并进行，不再要求申请人重复提交材料。3.将审批时限由20个工作日压减至18个工作日。</w:t>
            </w:r>
          </w:p>
        </w:tc>
        <w:tc>
          <w:tcPr>
            <w:tcW w:w="3015" w:type="dxa"/>
            <w:tcMar>
              <w:top w:w="57" w:type="dxa"/>
              <w:left w:w="57" w:type="dxa"/>
              <w:bottom w:w="57" w:type="dxa"/>
              <w:right w:w="57" w:type="dxa"/>
            </w:tcMar>
            <w:vAlign w:val="center"/>
          </w:tcPr>
          <w:p>
            <w:pPr>
              <w:widowControl/>
              <w:spacing w:line="252"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1.严格按照相关的法律法规和标准开展工作，强化日常监督管理。2.开展“双随机、一公开”监管，对存在违规违法行为的企业依法调查处理并公开结果。3.及时处理举报、投诉或信访案件。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1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危险废物综合经营许可证核发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危险废物经营许可证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县级以上地方生态环境部门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《中华人民共和国固体废物污染环境防治法》《危险废物经营许可证管理办法》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52"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废弃电器电子产品处理企业资格审批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废弃电器电子产品处理资格证书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设区的市级生态环境部门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《废弃电器电子产品回收处理管理条例》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不再要求申请人提供所在地生态环境部门出具的经营期间守法证明和监督性监测报告及建设项目工程质量、消防和安全验收的证明材料。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1.开展“双随机、一公开”监管，合理确定抽查比例。2.对失信主体强化信用约束，依法查处违规经营等行为并记入信用记录，通过国家企业信用信息公示系统予以公开。3.发挥行业协会自律作用。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危险化学品进出口环境管理登记证核发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有毒化学品进（出）口环境管理放行通知单</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《国务院对确需保留的行政审批项目设定行政许可的决定》《危险化学品环境管理登记办法》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会同有关部门进一步缩减《中国严格限制的有毒化学品名录》范围，使企业进出口更多种类的危险化学品时不再需要办理进出口环境管理登记证。</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1.开展“双随机、一公开”监管，合理确定抽查比例。2.对失信主体实施重点监管，依法查处违规经营等行为并记入信用记录，通过国家企业信用信息公示系统予以公开。3.依法及时处理投诉举报。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新化学物质环境管理登记证核发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新化学物质环境管理登记证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生态环境部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《国务院对确需保留的行政审批项目设定行政许可的决定》《危险化学品环境管理登记办法》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调整新化学物质申报登记所需的毒理学、生态毒理学最低数据要求，减轻企业负担。</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1.开展“双随机、一公开”监管。2.对失信主体强化信用约束，实施重点监管，依法查处违规经营行为并记入信用记录。3.加强行业自律和社会监督。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159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排污许可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排污许可证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县级以上地方生态环境部门</w:t>
            </w:r>
          </w:p>
        </w:tc>
        <w:tc>
          <w:tcPr>
            <w:tcW w:w="1320" w:type="dxa"/>
            <w:tcMar>
              <w:top w:w="57" w:type="dxa"/>
              <w:left w:w="57" w:type="dxa"/>
              <w:bottom w:w="57" w:type="dxa"/>
              <w:right w:w="57" w:type="dxa"/>
            </w:tcMar>
            <w:vAlign w:val="center"/>
          </w:tcPr>
          <w:p>
            <w:pPr>
              <w:widowControl/>
              <w:spacing w:line="25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《中华人民共和国环境保护法》《中华人民共和国大气污染防治法》《中华人民共和国水污染防治法》《中华人民共和国土壤污染防治法》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通过建设项目行业特征表实现有关信息系统的衔接，推动环境影响评价与排污许可之间的信息共享，不再要求企业重复填报有关信息。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房地产开发企业一级资质核定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《中华人民共和国城市房地</w:t>
            </w:r>
            <w:r>
              <w:rPr>
                <w:rFonts w:hint="eastAsia" w:ascii="Times New Roman" w:hAnsi="Times New Roman" w:eastAsia="方正书宋_GBK" w:cs="方正书宋_GBK"/>
                <w:color w:val="000000"/>
                <w:spacing w:val="-4"/>
                <w:kern w:val="0"/>
                <w:sz w:val="20"/>
                <w:szCs w:val="20"/>
                <w:lang w:bidi="ar"/>
              </w:rPr>
              <w:t>产管理法》《城</w:t>
            </w:r>
            <w:r>
              <w:rPr>
                <w:rFonts w:hint="eastAsia" w:ascii="Times New Roman" w:hAnsi="Times New Roman" w:eastAsia="方正书宋_GBK" w:cs="方正书宋_GBK"/>
                <w:color w:val="000000"/>
                <w:kern w:val="0"/>
                <w:sz w:val="20"/>
                <w:szCs w:val="20"/>
                <w:lang w:bidi="ar"/>
              </w:rPr>
              <w:t>市房地产开发经营管理条例》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1.开展“双随机、一公开”监管，依法查处违法违规行为并公开结果。2.加强信用监管，对失信主体开展联合惩戒。3.发挥行业协会自律作用。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5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房地产开发企业二级资质核定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《中华人民共和国城市房地</w:t>
            </w:r>
            <w:r>
              <w:rPr>
                <w:rFonts w:hint="eastAsia" w:ascii="Times New Roman" w:hAnsi="Times New Roman" w:eastAsia="方正书宋_GBK" w:cs="方正书宋_GBK"/>
                <w:color w:val="000000"/>
                <w:spacing w:val="-4"/>
                <w:kern w:val="0"/>
                <w:sz w:val="20"/>
                <w:szCs w:val="20"/>
                <w:lang w:bidi="ar"/>
              </w:rPr>
              <w:t>产管理法》《城</w:t>
            </w:r>
            <w:r>
              <w:rPr>
                <w:rFonts w:hint="eastAsia" w:ascii="Times New Roman" w:hAnsi="Times New Roman" w:eastAsia="方正书宋_GBK" w:cs="方正书宋_GBK"/>
                <w:color w:val="000000"/>
                <w:kern w:val="0"/>
                <w:sz w:val="20"/>
                <w:szCs w:val="20"/>
                <w:lang w:bidi="ar"/>
              </w:rPr>
              <w:t>市房地产开发经营管理条例》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1.开展“双随机、一公开”监管，依法查处违法违规行为并公开结果。2.加强信用监管，对失信主体开展联合惩戒。3.发挥行业协会自律作用。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5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房地产开发企业三级资质核定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《中华人民共和国城市房地</w:t>
            </w:r>
            <w:r>
              <w:rPr>
                <w:rFonts w:hint="eastAsia" w:ascii="Times New Roman" w:hAnsi="Times New Roman" w:eastAsia="方正书宋_GBK" w:cs="方正书宋_GBK"/>
                <w:color w:val="000000"/>
                <w:spacing w:val="-4"/>
                <w:kern w:val="0"/>
                <w:sz w:val="20"/>
                <w:szCs w:val="20"/>
                <w:lang w:bidi="ar"/>
              </w:rPr>
              <w:t>产管理法》《城</w:t>
            </w:r>
            <w:r>
              <w:rPr>
                <w:rFonts w:hint="eastAsia" w:ascii="Times New Roman" w:hAnsi="Times New Roman" w:eastAsia="方正书宋_GBK" w:cs="方正书宋_GBK"/>
                <w:color w:val="000000"/>
                <w:kern w:val="0"/>
                <w:sz w:val="20"/>
                <w:szCs w:val="20"/>
                <w:lang w:bidi="ar"/>
              </w:rPr>
              <w:t>市房地产开发经营管理条例》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1.开展“双随机、一公开”监管，依法查处违法违规行为并公开结果。2.加强信用监管，对失信主体开展联合惩戒。3.发挥行业协会自律作用。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房地产开发企业四级资质核定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房地产开发企业资质证书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《中华人民共和国城市房地</w:t>
            </w:r>
            <w:r>
              <w:rPr>
                <w:rFonts w:hint="eastAsia" w:ascii="Times New Roman" w:hAnsi="Times New Roman" w:eastAsia="方正书宋_GBK" w:cs="方正书宋_GBK"/>
                <w:color w:val="000000"/>
                <w:spacing w:val="-4"/>
                <w:kern w:val="0"/>
                <w:sz w:val="20"/>
                <w:szCs w:val="20"/>
                <w:lang w:bidi="ar"/>
              </w:rPr>
              <w:t>产管理法》《城</w:t>
            </w:r>
            <w:r>
              <w:rPr>
                <w:rFonts w:hint="eastAsia" w:ascii="Times New Roman" w:hAnsi="Times New Roman" w:eastAsia="方正书宋_GBK" w:cs="方正书宋_GBK"/>
                <w:color w:val="000000"/>
                <w:kern w:val="0"/>
                <w:sz w:val="20"/>
                <w:szCs w:val="20"/>
                <w:lang w:bidi="ar"/>
              </w:rPr>
              <w:t>市房地产开发经营管理条例》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1.开展“双随机、一公开”监管，依法查处违法违规行为并公开结果。2.加强信用监管，对失信主体开展联合惩戒。3.发挥行业协会自律作用。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2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建筑业企业资质认定（施工总承包特级、部分一级、部分二级和专业承包部分一级、部分二级）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建筑业企业资质证书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《中华人民共和国建筑法》《建设工程安全生产管理条例》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1.实行电子化申报和审批。2.不再要求申请人提供人员身份证明、社保证明、资质资格证书等材料。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建设工程勘察企业资质认定（甲级，海洋工程勘察甲级、乙级）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工程勘察资质证书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《中华人民共和国建筑法》《建设工程勘察设计管理条例》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1.实行电子化申报和审批。2.不再要求申请人提供人员身份证明、社保证明、资质资格证书等材料。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建设工程设计企业资质认定（甲级、部分乙级）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工程设计资质证书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《中华人民共和国建筑法》《建设工程勘察设计管理条例》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1.实行电子化申报和审批。2.不再要求申请人提供人员身份证明、社保证明、资质资格证书等材料。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工程监理企业综合资质认定（综合，除房屋建筑工程、市政公用工程外专业甲级）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工程监理资质证书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住房城乡建设部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《中华人民共和国建筑法》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1.实行电子化申报和审批。2.不再要求申请人提供人员身份证明、社保证明、资质资格证书等材料。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在建工程项目实施重点监管，依法查处违法违规行为并公开结果。2.严厉打击资质申报弄虚作假行为，对弄虚作假的企业依法予以通报或撤销其资质。3.加强信用监管，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建设工程质量检测机构资质核准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建设工程质量检测机构资质证书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省级住房城乡建设部门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1.实行电子化申报和审批。2.不再要求申请人提供人员身份证明、社保证明、资质资格证书等材料。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1.开展“双随机、一公开”监管，依法查处违法违规行为并公开结果。2.加强信用监管，向社会公布建设工程质量检测机构信用状况，对失信主体开展联合惩戒。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169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燃气经营许可证核发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燃气经营许可证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县级以上地方燃气管理部门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《城镇燃气管理条例》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1.实行电子化申报和审批。2.不再要求申请人提供人员身份证明、社保证明、资质资格证书等材料。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1.开展“双随机、一公开”监管，通过信息公示、抽查、抽验等方式，综合运用提醒、约谈、告诫等手段，依法查处违法违规行为并公开结果。2.加强信用监管，对失信主体开展联合惩戒。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机动车驾驶员培训许可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《中华人民共和国道路交通安全法》《中华人民共和国道路运输条例》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1.不再要求申请人提供身份证复印件、经营场所使用权证明复印件。2.加强与市场监管、公安等部门信息共享，在线获取并核验营业执照、安全驾驶经历等信息。3.将审批时限由15个工作日压减至10个工作日。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1.建立健全信用管理制度，强化对驾驶培训机构和教练员的信用监管。2.加强与公安机关的信息共享，实施跨部门联合监管。3.发挥行业协会自律作用。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公路工程专业甲级监理资质认定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《中华人民共和国公路法》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1.实现申请、审批全程网上办理并在网上公布认定条件、办理流程、审查要点，公开办理进度。2.不再要求申请人提供营业执照和业绩证明材料。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公路工程专业乙级监理资质认定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《中华人民共和国公路法》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1.实现申请、审批全程网上办理并在网上公布认定条件、办理流程、审查要点，公开办理进度。2.不再要求申请人提供营业执照和业绩证明材料。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公路工程专业公路机电工程专项监理资质认定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《中华人民共和国公路法》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1.实现申请、审批全程网上办理并在网上公布认定条件、办理流程、审查要点，公开办理进度。2.不再要求申请人提供营业执照和业绩证明材料。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公路工程专业特殊独立大桥专项监理资质认定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《中华人民共和国公路法》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1.实现申请、审批全程网上办理并在网上公布认定条件、办理流程、审查要点，公开办理进度。2.不再要求申请人提供营业执照和业绩证明材料。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公路工程专业特殊独立隧道专项监理资质认定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《中华人民共和国公路法》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1.实现申请、审批全程网上办理并在网上公布认定条件、办理流程、审查要点，公开办理进度。2.不再要求申请人提供营业执照和业绩证明材料。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互联网+监管”，通过信息化手段强化对企业投标及履约行为的监管。3.加强信用监管，向社会公布公路工程监理企业信用状况，拓展信用评价结果应用范围，实行失信联合惩戒。4.依法及时处理投诉举报。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省、设区的市级水路运输部门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1.实现办理审批“最多跑一次”。2.加强与市场监管部门之间的信息共享，不再要求申请人提供营业执照等材料。3.将审批时限由20个工作日压减至10个工作日。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省际旅客、危险品货物水路运输许可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实现申请人办理审批“最多跑一次”。3.除需按存档要求由企业提交的证书外，不再要求提供纸质材料。4.不再要求申请人提供营业执照等材料。5.将审批时限由20个工作日压减至10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外商投资企业经营沿海、江河、湖泊及其他通航水域水路运输审批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省、设区的市级水路运输部门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1.实现办理审批“最多跑一次”。2.不再要求申请人提供营业执照，在线获取营业执照等材料。3.将审批时限由20个工作日压减至10个工作日。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涉及外商投资企业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179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经营国内船舶管理业务审批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国内船舶管理业务经营许可证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省、设区的市级水路运输部门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《国内水路运输管理条例》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1.实现办理审批“最多跑一次”。2.不再要求申请人提供营业执照等材料。3.将审批时限由20个工作日压减至10个工作日。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诚信状况差、投诉举报多、受处罚警告多的经营主体提高抽查比例。2.依法及时处理投诉举报。3.加强对国内船舶管理企业的年度书面检查，发现不具备经营许可条件的要依法及时处理。4.针对日常动态监管发现的普遍性问题和突出风险组织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航运公司安全营运与防污染能力符合证明核发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符合证明、船舶安全管理证书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交通运输部直属海事局、分支海事局</w:t>
            </w:r>
          </w:p>
        </w:tc>
        <w:tc>
          <w:tcPr>
            <w:tcW w:w="1320" w:type="dxa"/>
            <w:tcMar>
              <w:top w:w="57" w:type="dxa"/>
              <w:left w:w="57" w:type="dxa"/>
              <w:bottom w:w="57" w:type="dxa"/>
              <w:right w:w="57" w:type="dxa"/>
            </w:tcMar>
            <w:vAlign w:val="center"/>
          </w:tcPr>
          <w:p>
            <w:pPr>
              <w:widowControl/>
              <w:spacing w:line="26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《国务院对确需保留的行政审批项目设定行政许可的决定》《防治船舶污染海洋环境管理条例》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1.开展“双随机、一公开”监管，发现违法违规行为的要依法查处并公开结果。2.加强信用监管，向社会公布航运公司信用状况，对失信主体开展联合惩戒。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设立引航机构审批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1.在网上公布审批条件和办理流程。2.将审批时限由20个工作日压减至15个工作日。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加强信用监管，建立健全诚信管理制度，及时向社会公布引航机构信用状况，对不严格执行引航安全标准规范的引航活动要依法及时处理。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设立验船机构审批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《中华人民共和国船舶和海上设施检验条例》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1.开展“双随机、一公开”监管，发现违法违规行为的要依法查处并公开结果。2.加强信用监管，向社会公布验船机构信用状况，对失信主体开展联合惩戒。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国际班轮运输业务经营审批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国际班轮运输经营资格登记证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《中华人民共和国国际海运条例》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1.实现申请、审批全程网上办理，及时完善更新办事指南并在网上公布审批程序、受理条件和办理标准。2.不再要求申请人提供营业执照等材料。3.将审批时限由30个工作日压减至15个工作日。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1.开展“双随机、一公开”监管，发现违法违规行为的要依法查处并公开结果。2.建立国际班轮运输企业信用档案并向社会公开信用记录，对严重失信主体开展联合惩戒。3.发挥行业协会自律作用。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国际客船、散装液体危险品船运输业务经营审批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国际船舶运输经营许可证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《中华人民共和国国际海运条例》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及时完善更新办事指南并在网上公布审批程序、受理条件和办理标准。2.不再要求申请人提供营业执照等材料。3.放宽对自有船舶的准入条件，对已取得经营资格的航运企业，允许将出售给依法取得国家有关部门批准的融资租赁公司后、再以融资租赁方式回租的船舶认定为自有船舶。4.将审批时限由30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国际客船、散装液体危险品船舶运输企业信用档案，向社会公开信用记录，对严重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从事大陆与台湾间海上运输业务许可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台湾海峡两岸间水路运输许可证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公布审批程序、受理条件和办理标准，公开办理进度。2.不再要求申请人提供营业执照等材料。3.放宽对自有船舶的准入条件，对已取得经营资格的航运企业，允许将出售给符合有关规定的融资租赁公司后、再以融资租赁方式回租的船舶认定为自有船舶。4.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1.加强港口、航运、海事部门之间的协作，实施联合监管。2.通过抽查等方式加强对地方港口、航运部门监管工作的监督检查，及时纠正问题。3.加强信用监管，对严重失信主体开展联合惩戒。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从事内地与港澳间客船（含客滚船、客货船等）、散装液体危险品船运输业务许可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交通行政许可决定书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《国务院对确需保留的行政审批项目设定行政许可的决定》《中华人民共和国国际海运条例》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及时完善更新办事指南并在网上公布审批程序、受理条件和办理标准。2.不再要求申请人提供营业执照等材料。3.放宽对自有船舶的准入条件，对已取得经营资格的航运企业，允许将其自有船舶出售给依法取得国家有关部门批准的融资租赁公司后、再以融资租赁方式回租的船舶认定为自有船舶。4.将审批时限由30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内地与港澳间客船、散装液体危险品船运输企业信用档案，向社会公开信用记录，对严重失信主体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培训机构从事船员、引航员培训业务审批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船员培训许可证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《中华人民共和国船员条例》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取消现场核验环节，在审批过程中不再到培训机构进行现场核验。</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港口（旅</w:t>
            </w:r>
            <w:r>
              <w:rPr>
                <w:rFonts w:hint="eastAsia" w:ascii="Times New Roman" w:hAnsi="Times New Roman" w:eastAsia="方正书宋_GBK" w:cs="方正书宋_GBK"/>
                <w:color w:val="000000"/>
                <w:spacing w:val="-11"/>
                <w:kern w:val="0"/>
                <w:sz w:val="20"/>
                <w:szCs w:val="20"/>
                <w:lang w:bidi="ar"/>
              </w:rPr>
              <w:t>客、危险</w:t>
            </w:r>
            <w:r>
              <w:rPr>
                <w:rFonts w:hint="eastAsia" w:ascii="Times New Roman" w:hAnsi="Times New Roman" w:eastAsia="方正书宋_GBK" w:cs="方正书宋_GBK"/>
                <w:color w:val="000000"/>
                <w:kern w:val="0"/>
                <w:sz w:val="20"/>
                <w:szCs w:val="20"/>
                <w:lang w:bidi="ar"/>
              </w:rPr>
              <w:t>货物）经营许可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港口经营许可证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省级交通运输部门或所在地港口部门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《中华人民共和国港口法》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6"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1.推动实现申请、审批全程网上办理并在网上公布许可条件和办理流程。2.不再要求申请人提供营业执照等材料，在线获取营业执照信息。3.将审批时限由30个工作日压减至20个工作日。</w:t>
            </w:r>
          </w:p>
        </w:tc>
        <w:tc>
          <w:tcPr>
            <w:tcW w:w="3015" w:type="dxa"/>
            <w:tcMar>
              <w:top w:w="57" w:type="dxa"/>
              <w:left w:w="57" w:type="dxa"/>
              <w:bottom w:w="57" w:type="dxa"/>
              <w:right w:w="57" w:type="dxa"/>
            </w:tcMar>
            <w:vAlign w:val="center"/>
          </w:tcPr>
          <w:p>
            <w:pPr>
              <w:widowControl/>
              <w:spacing w:line="276"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通过有关信息化系统加强对港口经营人作业活动和作业区域的监督检查，督促其落实安全生产责任。3.加强信用监管，向社会公开港口企业信用记录。</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4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189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建设港口设施使用非深水岸线审批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县级以上地方交通运输（港口）部门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《中华人民共和国港口法》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不再要求申请人提供营业执照、公司章程等材料。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1.加强信用监管，将港口岸线使用有关信用信息纳入相关信用信息共享平台并向社会公布。2.依托港口岸线资源监测平台，利用遥感卫星图片跟踪岸线资源利用情况，发现问题要依法及时处理。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4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港口深水岸线使用审批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《中华人民共和国港口法》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不再要求申请人提供营业执照、公司章程等材料。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1.加强信用监管，将港口岸线使用有关信用信息纳入相关信用信息共享平台并向社会公布。2.依托港口岸线资源监测平台，利用遥感卫星图片跟踪岸线资源利用情况，发现问题要依法及时处理。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1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港口设施保安证书核发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港口设施保安符合证书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省级交通运输（港口）部门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1.实现申请、审批全程网上办理并在网上公布审批条件和办理流程。2.不再要求申请人提供营业执照等材料，在线获取营业执照信息。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港口设施保安规则和相关标准，统一规范港口设施保安工作。2.依托有关信息系统，实现港口设施保安管理信息报送和共享，加强对港口设施保安工作的监管。3.对下级交通运输（港口）部门履职情况进行监督检查。4.加强信用监管，向社会公布港口企业信用记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公路养护作业单位资质审批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公路养护作业资质证书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《公路安全保护条例》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1.开展“双随机、一公开”监管，发现违法违规行为的要依法查处并公开结果。2.通过“互联网+监管”，加强对企业投标及履约行为的监管。3.加强信用监管，拓展信用评价结果应用范围，实行失信联合惩戒。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水运工程监理企业甲级资质认定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交通建设工程监理企业资质等级证书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《建设工程质量管理条例》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1.实现申请、审批全程网上办理并在网上公布认定条件、办理流程、审查要点，公开办理进度。2.不再要求申请人提供营业执照复印件、企业章程和制度等材料。3.将专家评审时限由60天压减至40天。</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4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道路旅客运输经营许可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《中华人民共和国道路运输条例》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不再要求申请人提供企业章程，现有营运客车行驶证、车辆技术等级评定结论、客车类型等级评定证明，已聘用或者拟聘用驾驶人员的3年内无重大以上交通责任事故证明等材料。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1.强化部门间信息共享。2.加强社会监督，向社会公开道路旅客运输企业的运输服务质量承诺，依法及时处理投诉举报。3.加强对道路旅客运输活动的监督检查，发现违法违规行为的要依法查处。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危险货物运输经营许可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《中华人民共和国道路运输条例》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1.强化部门间信息共享，实施跨部门联合监管，强化危险货物道路运输全过程安全管理。2.发挥行业协会自律作用。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放射性物品道路运输经营许可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《中华人民共和国道路运输条例》《放射性物品运输安全管理条例》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1.强化部门间信息共享，实施跨部门联合监管，强化放射性物品道路运输全过程安全管理。2.发挥行业协会自律作用。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国际道路旅客运输许可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省级交通运输部门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《中华人民共和国道路运输条例》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1.加强部门间信息共享和联合监管，通过信息化手段对国际道路旅客运输企业、从业人员、运输车辆进行监督管理。2.依托北斗卫星导航系统车载终端，加强对有关车辆的动态监控。3.依法及时处理投诉举报。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出租汽车经营许可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道路运输经营许可证、网络预约出租汽车经营许可证</w:t>
            </w:r>
          </w:p>
        </w:tc>
        <w:tc>
          <w:tcPr>
            <w:tcW w:w="949"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直辖市、设区的市、县级交通运输部门或者人民政府指定的出租汽车行政主管部门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1.开展服务质量信誉考核测评，建立出租汽车经营者信用档案并向社会公开信用记录，对失信主体开展联合惩戒。2.依法及时处理投诉举报。3.发挥行业协会自律作用。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199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出租汽车车辆运营证核发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道路运输证、网络预约出租汽车运输证</w:t>
            </w:r>
          </w:p>
        </w:tc>
        <w:tc>
          <w:tcPr>
            <w:tcW w:w="949"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直辖市、设区的市、县级交通运输部门或者人民政府指定的出租汽车行政主管部门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对开展出租汽车技术等级评定的地区，不再要求申请人提供技术等级评定相关材料，直接向检测机构获取车辆技术等级评定信息。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1.开展服务质量信誉考核测评，建立出租汽车经营者信用档案并向社会公开信用记录，对失信主体开展联合惩戒。2.依法及时处理投诉举报。3.发挥行业协会自律作用。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7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从事海员外派业务审批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海洋船舶船员服务机构资质证书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交通运输部直属海事局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《对外劳务合作管理条例》《中华人民共和国船员条例》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1.开展“双随机、一公开”监管，发现违法违规行为的要依法查处并公开结果。2.加强信用监管，向社会公布有关企业信用记录，对失信主体开展联合惩戒。3.依法及时处理投诉举报。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水利工程建设监理单位资质认定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水利工程建设监理单位资质证书</w:t>
            </w:r>
            <w:r>
              <w:rPr>
                <w:rFonts w:hint="eastAsia" w:ascii="Times New Roman" w:hAnsi="Times New Roman" w:eastAsia="方正书宋_GBK" w:cs="方正书宋_GBK"/>
                <w:color w:val="000000"/>
                <w:spacing w:val="-17"/>
                <w:kern w:val="0"/>
                <w:sz w:val="20"/>
                <w:szCs w:val="20"/>
                <w:lang w:bidi="ar"/>
              </w:rPr>
              <w:t>（甲级、</w:t>
            </w:r>
            <w:r>
              <w:rPr>
                <w:rFonts w:hint="eastAsia" w:ascii="Times New Roman" w:hAnsi="Times New Roman" w:eastAsia="方正书宋_GBK" w:cs="方正书宋_GBK"/>
                <w:color w:val="000000"/>
                <w:kern w:val="0"/>
                <w:sz w:val="20"/>
                <w:szCs w:val="20"/>
                <w:lang w:bidi="ar"/>
              </w:rPr>
              <w:t>乙级、丙级）</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1.实现申请、审批全程网上办理。2.不再要求申请人提供营业执照复印件、有关人员资格证明等材料。3.直接邮寄或由企业自取证书，实现企业“最多跑一次”。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1.开展“双随机、一公开”监管，合理确定抽查比例。2.依法及时处理投诉举报。3.加强信用监管，向社会公布水利工程建设监理单位信用状况，建立行业黑名单制度，对失信主体加大抽查比例并开展联合惩戒。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水利工程质量检测单位资质认定（甲级）</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水利工程质量检测单位资质</w:t>
            </w:r>
            <w:r>
              <w:rPr>
                <w:rFonts w:hint="eastAsia" w:ascii="Times New Roman" w:hAnsi="Times New Roman" w:eastAsia="方正书宋_GBK" w:cs="方正书宋_GBK"/>
                <w:color w:val="000000"/>
                <w:spacing w:val="-11"/>
                <w:kern w:val="0"/>
                <w:sz w:val="20"/>
                <w:szCs w:val="20"/>
                <w:lang w:bidi="ar"/>
              </w:rPr>
              <w:t>证书（甲级</w:t>
            </w:r>
            <w:r>
              <w:rPr>
                <w:rFonts w:hint="eastAsia" w:ascii="Times New Roman" w:hAnsi="Times New Roman" w:eastAsia="方正书宋_GBK" w:cs="方正书宋_GBK"/>
                <w:color w:val="000000"/>
                <w:kern w:val="0"/>
                <w:sz w:val="20"/>
                <w:szCs w:val="20"/>
                <w:lang w:bidi="ar"/>
              </w:rPr>
              <w:t>）</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水利部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1.实现申请、审批全程网上办理。2.不再要求申请人提供营业执照复印件、有关人员资格证明等材料。3.直接邮寄或由企业自取证书，实现企业“最多跑一次”。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合理确定抽查比例。2.依法及时处理投诉举报。3.加强信用监管，向社会公布水利工程质量检测单位（甲级）信用状况，建立行业黑名单制度，对失信主体加大抽查比例并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6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河道采砂许可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河道采砂许可证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有关流域管理机构；县级以上地方水利部门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w:t>
            </w:r>
            <w:r>
              <w:rPr>
                <w:rFonts w:hint="eastAsia" w:ascii="Times New Roman" w:hAnsi="Times New Roman" w:eastAsia="方正书宋_GBK" w:cs="方正书宋_GBK"/>
                <w:color w:val="000000"/>
                <w:spacing w:val="-4"/>
                <w:kern w:val="0"/>
                <w:sz w:val="20"/>
                <w:szCs w:val="20"/>
                <w:lang w:bidi="ar"/>
              </w:rPr>
              <w:t>和国水法》《中</w:t>
            </w:r>
            <w:r>
              <w:rPr>
                <w:rFonts w:hint="eastAsia" w:ascii="Times New Roman" w:hAnsi="Times New Roman" w:eastAsia="方正书宋_GBK" w:cs="方正书宋_GBK"/>
                <w:color w:val="000000"/>
                <w:kern w:val="0"/>
                <w:sz w:val="20"/>
                <w:szCs w:val="20"/>
                <w:lang w:bidi="ar"/>
              </w:rPr>
              <w:t>华人民共和国河道管理条例》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河道采砂规划编制审批，实行年度采量控制，及时向社会公布可采区、可采期、可采量。2.对公益性采砂减少审批环节，对符合相关工程建设项目程序的，不再同时开展河道采砂行政许可。3.采取灵活的许可实施方式，各地可结合实际，采取招标、统一经营等方式实施许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1.出台河道采砂管理工作的指导意见，明确现场监管要求。2.开展“双随机、一公开”监管和“四不两直”暗访，加强对采砂情况的监督检查。3.加强信用监管，完善河道采砂业主黑名单制度，采取限制惩戒措施。</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结合广西实际，河道采砂许可和监管依照《广西壮族自治区河道采砂管理条例》具体规定实施。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4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取水许可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取水许可证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流域管理机构；县级以上地方水利部门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w:t>
            </w:r>
            <w:r>
              <w:rPr>
                <w:rFonts w:hint="eastAsia" w:ascii="Times New Roman" w:hAnsi="Times New Roman" w:eastAsia="方正书宋_GBK" w:cs="方正书宋_GBK"/>
                <w:color w:val="000000"/>
                <w:spacing w:val="-4"/>
                <w:kern w:val="0"/>
                <w:sz w:val="20"/>
                <w:szCs w:val="20"/>
                <w:lang w:bidi="ar"/>
              </w:rPr>
              <w:t>和国水法》《取</w:t>
            </w:r>
            <w:r>
              <w:rPr>
                <w:rFonts w:hint="eastAsia" w:ascii="Times New Roman" w:hAnsi="Times New Roman" w:eastAsia="方正书宋_GBK" w:cs="方正书宋_GBK"/>
                <w:color w:val="000000"/>
                <w:kern w:val="0"/>
                <w:sz w:val="20"/>
                <w:szCs w:val="20"/>
                <w:lang w:bidi="ar"/>
              </w:rPr>
              <w:t>水许可和水资源费征收管理条例》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进区域规划水资源论证，明确区域用水总量管控目标、存量及准入条件，每半年公布存量情况和申请企业排序情况。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对报告表实行备案承诺制，不再组织技术审查，由水利部门直接审核。</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取水单位和个人取用水、有关技术单位编制报告中存在违法行为的，要依法查处并向社会公开。2.加强信用监管，将取水单位和个人的相关违法信息纳入社会征信体系，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生鲜乳收购站许可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生鲜乳收购许可证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县级农业农村（畜牧兽医）部门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《乳品质量安全监督管理条例》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将审批时限由20个工作日压减至10个工作日。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1.开展“双随机、一公开”监管，发现违法违规行为的要依法查处并公开结果。2.加强对生鲜乳收购站的监管，将其全部纳入监管监测信息系统，实时掌握收购、运营情况。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食用菌菌种生产经营许可证核发（母种、原种）</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农作物种子、食用菌菌种生产经营许可证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1.开展“双随机、一公开”监管，根据风险程度，合理确定抽查比例，对风险等级高的领域、投诉举报多的企业实施重点监管。2.强化社会监督，依法及时处理举报、投诉问题，调查处理结果向社会公开。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农作物种子、食用菌菌种生产经营许可证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1.开展“双随机、一公开”监管，根据风险程度，合理确定抽查比例，对风险等级高的领域、投诉举报多的企业实施重点监管。2.强化社会监督，依法及时处理举报、投诉问题，调查处理结果向社会公开。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4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进出口农作物种子（苗）审批（初审）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1.开展“双随机、一公开”监管，根据风险程度，合理确定抽查比例，对风险等级高的领域、投诉举报多的企业实施重点监管。2.强化社会监督，依法及时处理举报、投诉问题，调查处理结果向社会公开。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209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进出口农作物种子审批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动植物苗种进（出）口审批表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实行承诺备案和申请资料留存备查的企业实施重点监管，严肃查处弄虚作假骗取许可行为。2.加强信用监管，向社会公布进出口农作物种子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食用菌菌种进出口审批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动植物苗种进（出）口审批表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1.开展“双随机、一公开”监管，根据风险程度，合理确定抽查比例，对风险等级高的领域、投诉举报多的企业实施重点监管。2.强化社会监督，依法及时处理举报、投诉问题，调查处理结果向社会公开。</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外商投资农作物新品种选育和种子生产经营审核</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《中华人民共和国种子法》《中华人民共和国中外合资经营企业法实施条例》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1.开展“双随机、一公开”监管，对实行承诺备案和申请资料留存备查的企业实施重点监管，严肃查处弄虚作假骗取许可行为。2.加强信用监管，向社会公布农作物种子企业信用状况，对失信主体开展联合惩戒。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外商投资企业农作物种子生产经营许可证核发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1.实现申请、受理网上办理。2.不再要求申请人提供种子检验、加工等设备清单和购置发票复印件。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实行承诺备案和申请资料留存备查的企业实施重点监管，严肃查处弄虚作假骗取许可行为。2.加强信用监管，向社会公布外商投资农作物种子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农作物种子（进出口）生产经营许可证核发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1.实现申请、受理网上办理。2.不再要求申请人提供种子检验、加工等设备清单和购置发票复印件。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实行承诺备案和申请资料留存备查的企业实施重点监管，严肃查处弄虚作假骗取许可行为。2.加强信用监管，向社会公布进出口农作物种子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农作物种子质量检验机构资格认定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农作物种子质量检验机构考核证书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食用菌菌种质量检验机构资格认定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食用菌菌种质量检验机构考核证书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转基因棉花种子生产经营许可证核发（初审）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《中华人民共和国种子法》《农业转基因生物安全管理条例》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转基因农作物种子生产经营许可证核发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转基因农作物种子生产经营许可证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《中华人民共和国种子法》《农业转基因生物安全管理条例》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1.开展“双随机、一公开”监管，对实行承诺备案和申请资料留存备查的企业实施重点监管，严肃查处弄虚作假骗取许可行为。2.加强信用监管，向社会公布农作物种子企业信用状况，对失信主体开展联合惩戒。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转基因种畜禽生产经营许可证核发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转基因种畜禽生产经营许可证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1.加强行业监测，将风险隐患较多的企业列入重点监管对象，确保不发生重大风险。2.依法及时处理投诉举报，并将调查处理结果向社会公开。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219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转基因水产苗种生产经营许可证核发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转基因水产苗种生产经营许可证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1.开展“双随机、一公开”监管，发现违法违规行为的要依法查处。2.对风险等级高、投诉举报多的企业实施重点监管。3.依法及时处理举报、投诉问题，处理结果向社会公开并记入企业信用档案。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农业转基因生物生产、加工审批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农业转基因生物加工许可证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不再要求申请人提供加工原料的《农业转基因生物安全证书》复印件。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1.开展“双随机、一公开”监管，发现违法违规行为的依法查处并公开结果。2.畅通投诉举报渠道，及时调查处理并将处理结果向社会公开。3.加强行业自律。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农业转基因生物加工审批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农业转基因生物加工许可证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《农业转基因生物安全管理条例》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不再要求申请人提供加工原料的《农业转基因生物安全证书》复印件。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1.开展“双随机、一公开”监管，发现违法违规行为的依法查处并公开结果。2.畅通投诉举报渠道，及时调查处理并将处理结果向社会公开。3.加强行业自律。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种畜禽生产经营许可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种畜禽生产经营许可证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《中华人民共和国畜牧法》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蜂种生产经营许可证核发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蜂种生产经营许可证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《中华人民共和国畜牧法》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蚕种生产经营许可证核发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蚕种生产经营许可证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《中华人民共和国畜牧法》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1.开展“双随机、一公开”监管，根据风险程度，合理确定抽查比例，对风险等级高的领域、投诉举报多的企业实施重点监管。2.强化社会监督，依法及时处理投诉举报，调查处理结果向社会公开。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9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省级及以下农产品质量安全检测机构考核</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农产品质量安全检测机构考核合格证书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《中华人民共和国农产品质量安全法》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5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国家级农产品质量安全检测机构资格认定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农产品质量安全检测机构考核合格证书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《中华人民共和国农产品质量安全法》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农药登记试验单位认定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农药登记试验单位证书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1.实现申请、审批网上办理。2.不再要求申请人同时提供申请材料的纸质文件和电子文档。</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1.开展“双随机、一公开”监管，发现违法违规行为的要依法查处。2.及时处理有关投诉举报，调查处理结果向社会公开。3.加强信用监管，向社会公布农药登记试验单位信用状况，对失信主体开展联合惩戒。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0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1.实现申请、审批网上办理。2.不再要求申请人同时提供申请材料的纸质文件和电子文档。</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行业监测，畅通投诉举报渠道，将风险隐患、投诉举报较多的企业列入重点监管对象。3.加强信用监管，向社会公布农药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4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229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农药登记证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1.开展“双随机、一公开”监管，发现违法违规行为的要依法查处。2.及时处理有关投诉举报，调查处理结果向社会公开。3.加强信用监管，向社会公布有关单位信用状况，对失信主体开展联合惩戒。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新农药登记试验审批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新农药登记试验批准证书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1.实现申请、审批网上办理。2.不再要求申请人同时提供纸质申请资料和电子文档。</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1.开展“双随机、一公开”监管，发现违法违规行为的要依法查处。2.根据投诉举报实施重点监管。3.加强信用监管，向社会公布新农药登记试验单位信用状况，对失信主体开展联合惩戒。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1.实现申请、审批网上办理。2.不再要求申请人同时提供申请材料的纸质文件和电子文档。</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行业监测，畅通投诉举报渠道，将风险隐患、投诉举报较多的企业列入重点监管对象。3.加强信用监管，向社会公布农药经营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肥料登记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肥料登记证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《中华人民共和国农业法》《中华人民共和国农产品质</w:t>
            </w:r>
            <w:r>
              <w:rPr>
                <w:rFonts w:hint="eastAsia" w:ascii="Times New Roman" w:hAnsi="Times New Roman" w:eastAsia="方正书宋_GBK" w:cs="方正书宋_GBK"/>
                <w:color w:val="000000"/>
                <w:spacing w:val="-4"/>
                <w:kern w:val="0"/>
                <w:sz w:val="20"/>
                <w:szCs w:val="20"/>
                <w:lang w:bidi="ar"/>
              </w:rPr>
              <w:t>量安全法》《中</w:t>
            </w:r>
            <w:r>
              <w:rPr>
                <w:rFonts w:hint="eastAsia" w:ascii="Times New Roman" w:hAnsi="Times New Roman" w:eastAsia="方正书宋_GBK" w:cs="方正书宋_GBK"/>
                <w:color w:val="000000"/>
                <w:kern w:val="0"/>
                <w:sz w:val="20"/>
                <w:szCs w:val="20"/>
                <w:lang w:bidi="ar"/>
              </w:rPr>
              <w:t>华人民共和国土壤污染防治法》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1.在肥料首次登记和变更登记时，不再要求申请人提供肥料产品登记申请单。2.在续展登记时，不再要求申请人提供肥料产品登记申请单和加盖申请人公章的肥料登记证复印件。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行业监测，畅通投诉举报渠道，将风险隐患、投诉举报较多的企业列入重点监管对象。3.加强信用监管，向社会公布肥料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从事饲料、饲料添加剂生产的企业审批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饲料生产许可证、饲料添加剂生产许可证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《饲料和饲料添加剂管理条例》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不再要求申请人提供人员资质证明、营业执照等材料。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动物防疫条件合格证核发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动物防疫条件合格证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《中华人民共和国动物防疫法》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1.开展“双随机、一公开”监管，发现违法违规行为的要依法查处并公开结果。2.针对行业突出问题和重大风险点，开展安全风险预警监测，及时发现隐患并处置。3.强化社会监督，依法及时处理投诉举报。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生猪定点屠宰厂（场）设置审查</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生猪定点屠宰证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设区的市级人民政府</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《生猪屠宰管理条例》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不再要求申请人提供动物防疫条件合格证和符合环境保护要求的污染防治设施清单及相关证明材料。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4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采集、出售、收购国家二级保护野生植物（农业类）审批</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国家重点保护野生植物采集许可证，出售、收购国家二级保护野生植物许可文件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《中华人民共和国野生植物保护条例》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1.开展“双随机、一公开”监管，发现违法违规行为要依法查处并公开结果。2.加强信用监管，对失信主体开展联合惩戒。3.对风险等级较高、信用等级较低的企业实施重点监管。4.依法及时处理投诉举报。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0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Style w:val="4"/>
                <w:rFonts w:hint="eastAsia" w:ascii="Times New Roman" w:eastAsia="方正书宋_GBK" w:cs="方正书宋_GBK"/>
                <w:sz w:val="20"/>
                <w:szCs w:val="20"/>
                <w:lang w:bidi="ar"/>
              </w:rPr>
              <w:t>人工繁育国家重点保护水生野生动物审批（白</w:t>
            </w:r>
            <w:r>
              <w:rPr>
                <w:rStyle w:val="5"/>
                <w:rFonts w:hint="default" w:ascii="Times New Roman" w:hAnsi="Times New Roman" w:eastAsia="方正书宋_GBK" w:cs="方正书宋_GBK"/>
                <w:sz w:val="20"/>
                <w:szCs w:val="20"/>
                <w:lang w:bidi="ar"/>
              </w:rPr>
              <w:t>鱀</w:t>
            </w:r>
            <w:r>
              <w:rPr>
                <w:rStyle w:val="4"/>
                <w:rFonts w:hint="eastAsia" w:ascii="Times New Roman" w:eastAsia="方正书宋_GBK" w:cs="方正书宋_GBK"/>
                <w:sz w:val="20"/>
                <w:szCs w:val="20"/>
                <w:lang w:bidi="ar"/>
              </w:rPr>
              <w:t>豚等）</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中华人民共和国水生野生动物人工繁育许可证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在“双随机、一公开”监管中未发现问题且年办理10批次以上材料均合格的申请人，采用申请材料容缺方式办理审批。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1.开展“双随机、一公开”监管，发现违法违规行为的要依法查处并公开结果。2.对风险等级较高、信用等级较低的企业实施重点监管。3.依法及时处理投诉举报。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3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人工繁育国家重点保护水生野生动物审批</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中华人民共和国水生野生动物人工繁育许可证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239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Style w:val="4"/>
                <w:rFonts w:hint="eastAsia" w:ascii="Times New Roman" w:eastAsia="方正书宋_GBK" w:cs="方正书宋_GBK"/>
                <w:sz w:val="20"/>
                <w:szCs w:val="20"/>
                <w:lang w:bidi="ar"/>
              </w:rPr>
              <w:t>出售、购买、利用国家重点保护水生野生动物及其制品审批（白</w:t>
            </w:r>
            <w:r>
              <w:rPr>
                <w:rStyle w:val="5"/>
                <w:rFonts w:hint="default" w:ascii="Times New Roman" w:hAnsi="Times New Roman" w:eastAsia="方正书宋_GBK" w:cs="方正书宋_GBK"/>
                <w:sz w:val="20"/>
                <w:szCs w:val="20"/>
                <w:lang w:bidi="ar"/>
              </w:rPr>
              <w:t>鱀</w:t>
            </w:r>
            <w:r>
              <w:rPr>
                <w:rStyle w:val="4"/>
                <w:rFonts w:hint="eastAsia" w:ascii="Times New Roman" w:eastAsia="方正书宋_GBK" w:cs="方正书宋_GBK"/>
                <w:sz w:val="20"/>
                <w:szCs w:val="20"/>
                <w:lang w:bidi="ar"/>
              </w:rPr>
              <w:t>豚等）</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中华人民共和国水生野生动物经营利用许可证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在“双随机、一公开”监管中未发现问题且年办理10批次以上材料均合格的申请人，采用申请材料容缺方式办理审批。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1.开展“双随机、一公开”监管，发现违法违规行为的要依法查处并公开结果。2.对风险等级较高、信用等级较低的企业实施重点监管。3.依法及时处理投诉举报。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出售、购买、利用国家重点保护水生野生动物及其制品审批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中华人民共和国水生野生动物经营利用许可证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3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兽药生产许可证核发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省级农业农村（畜牧兽医）部门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1.实现申请、审批网上办理。2.将审批时限由40个工作日压减至35个工作日。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兽药经营许可证核发（生物制品类、精神药品等特殊药品类）</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《兽药管理条例》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1.实现申请、审批网上办理，提高服务便民化水平。2.将审批时限由30个工作日压减至25个工作日。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1.开展“双随机、一公开”监管，对风险等级高、投诉举报多的企业增加抽检数量和频次，实施重点监管。2.强化社会监督，依法及时处理举报、投诉问题，调查处理结果向社会公开。</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重要水产苗种进出口审批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重要水产苗种进（出）口审批表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农业农村部；省级农业农村（渔业）部门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1.开展“双随机、一公开”监管，发现违法违规行为的要依法查处。2.对风险等级高、投诉举报多的企业实施重点监管。3.依法及时处理举报、投诉问题，处理结果向社会公开并记入企业信用档案。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水产苗种进出口审批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水产苗种进出口审批表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渔业捕捞许可审批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渔业捕捞许可证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1.实现全国一网通办。2.对能够通过有关信息系统或者部门间信息共享核查的证明材料，不再要求申请人提供。</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1.开展“双随机、一公开”监管，发现违法违规行为的要依法查处并及时公布查处结果。2.强化社会监督，依法及时处理投诉举报，调查处理结果向社会公开。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渔业捕捞许可证核发（涉外渔业）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渔业捕捞许可证（涉外渔业）</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1.实现申请、审批全程网上办理。2.对能够通过有关信息系统或者部门间信息共享核查的证明材料，不再要求申请人提供。</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1.开展“双随机、一公开”监管，发现违法违规行为的要依法查处并及时公布查处结果。2.强化社会监督，依法及时处理投诉举报，调查处理结果向社会公开。</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远洋渔业项目（初审）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《中华人民共和国渔业法实施细则》</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远洋渔业审批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远洋渔业项目审批通知</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农业农村部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《中华人民共和国渔业法》《中华人民共和国渔业法实施细则》</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不再要求申请人提供营业执照、渔业船舶检验证书、渔业船舶登记证等材料，通过部门间信息共享获取相关信息。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远洋渔船的生产情况报告、标准化捕捞日志、渔船船位监测、派遣国家观察员、签发合法捕捞证明等纳入监管内容，实现远洋渔船全过程动态监管。2.畅通投诉举报渠道，对涉嫌违法违规的远洋渔业企业和渔船组织开展调查，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249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水域滩涂养殖证核发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水域滩涂养殖证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县级以上地方人民政府</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7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 xml:space="preserve">水产苗种生产审批 </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水产苗种生产许可证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不含原、良种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水产原、良种场的水产苗种生产许可证核发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水产苗种生产许可证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省级农业农村（渔业）部门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《中华人民共和国渔业法》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1.实现全国一网通办，申请人“最多跑一次”。2.不再要求申请人提供营业执照、法定代表人身份证等材料，通过部门间信息共享获取相关信息。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1.开展“双随机、一公开”监管，发现违法违规行为的要依法查处。2.对风险等级高、投诉举报多的企业实施重点监管。3.依法及时处理投诉举报，处理结果向社会公开并记入企业信用档案。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援外项目实施企业资格认定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资格认定批件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商务部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不再要求申请人提供税务部门出具的完税证明。</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1.建立援外项目实施企业信用记录，实行失信联合惩戒。2.开展重点审计，对重点关注企业、重点项目实施企业进行审计。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2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进出口国营贸易经营资格认定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商务部（部分品种需会同国务院有关部门）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《中华人民共和国对外贸易法》《中华人民共和国货物进出口管理条例》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推动压减申请材料，优化审批流程。</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及时公布检查情况，发现问题的向企业提出整改要求并跟踪整改结果，发现违法行为的依法实施行政处罚，将查处结果纳入企业信用记录。2.加强信用监管，会同有关部门实行失信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供港澳活畜禽经营权审批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商务部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《中华人民共和国货物进出口管理条例》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1.审批时不再征求海关总署和中国食品土畜进出口商会意见。2.不再要求申请人提供海关总署供港澳活畜禽备案养殖场资格证书。</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1.推进部门间信息共享和协同监管体系建设。2.加强信用监管，将供港澳活畜禽企业经营情况记入信用记录，实施失信联合惩戒。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0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报废机动车回收企业资质认定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资质认定书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《报废机动车回收管理办法》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不再将注册资本、场地面积、从业人员等作为报废机动车回收（拆解）企业资质认定条件。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1.推进部门间信息共享和协同监管体系建设。2.开展“双随机、一公开”监管，对投诉举报多的单位实施重点监管。3.发挥行业协会自律作用。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包括拆解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30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成品油零售经营资格审批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成品油零售经营批准证书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暂时调整适用《国务院对确需保留的行政审批项目设定行政许可的决定》中关于审批权限的规定，将审批权限由省级商务部门下放至设区的市级人民政府。2.取消申请企业提交成品油供应渠道法律文件相关要求。</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做好成品油零售企业年度检查，重点关注企业经营中质量、计量、消防、安全、环保等方面情况。2.配合有关部门做好安全生产管理工作，组织开展成品油零售经营企业安全管理专项检查。3.完善成品油零售经营主体和零售网点信息系统，指导企业做好信息报送和变更。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直销企业及其分支机构设立和变更审批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直销经营许可证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商务部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《直销管理条例》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1.制定并公开办事指南，在网上公开审批依据、申请条件、申请材料、办理流程和办理结果。2.推进“互联网+政务服务”，推动部门间信息共享应用。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1.探索建立以信用监管为基础的行业监管体制。2.配合有关部门做好严重违法违规企业的查处。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对外劳务合作经营资格核准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对外劳务合作经营资格证书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省、设区的市级商务部门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《中华人民共和国对外贸易法》《对外劳务合作管理条例》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1.开展“双随机、一公开”监管，发现违法违规行为的要依法查处并公开结果。2.支持行业协会发挥自律作用。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8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259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互联网上网服务营业场所经营单位（含港、澳投资）设立审批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网络文化经营许可证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《互联网上网服务营业场所管理条例》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1.取消总量限制和布局要求。2.取消对互联网上网服务营业场所的计算机数量限制。3.不再要求申请人提供资金信用证明等材料。4.将审批时限由20个工作日压减至13个工作日。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游艺娱乐场所设立审批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娱乐经营许可证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《娱乐场所管理条例》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1.取消总量限制和布局要求。2.将审批时限由20个工作日压减至13个工作日。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歌舞娱乐场所设立审批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娱乐经营许可证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《娱乐场所管理条例》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中外合资经营、中外合作经营企业申请从事娱乐场所经营活动审批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娱乐经营许可证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《娱乐场所管理条例》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从事经营性互联网文化活动审批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网络文化经营许可证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1.实现申请、审批全程网上办理。2.将审批时限由20个工作日压减至13个工作日。3.网上公布审批程序、受理条件、办理标准，公开办理进度。</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0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设立社会艺术水平考级机构审批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社会艺术水平考级资格证书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1.不再要求申请人提供营业执照、收费项目和标准等材料。2.将专家论证环节由3个月压减至1个月。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对艺术水平考级行业的监测，针对发现的普遍性问题和突出风险开展专项检查。3.加强信用监管，向社会公布艺术水平考级机构信用状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265</w:t>
            </w:r>
          </w:p>
        </w:tc>
        <w:tc>
          <w:tcPr>
            <w:tcW w:w="134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演出经纪机构从事营业性演出经营活动审批</w:t>
            </w:r>
          </w:p>
        </w:tc>
        <w:tc>
          <w:tcPr>
            <w:tcW w:w="76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9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9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266</w:t>
            </w:r>
          </w:p>
        </w:tc>
        <w:tc>
          <w:tcPr>
            <w:tcW w:w="134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文艺表演团体从事营业性演出活动审批</w:t>
            </w:r>
          </w:p>
        </w:tc>
        <w:tc>
          <w:tcPr>
            <w:tcW w:w="76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县级文化和旅游部门</w:t>
            </w:r>
          </w:p>
        </w:tc>
        <w:tc>
          <w:tcPr>
            <w:tcW w:w="1320" w:type="dxa"/>
            <w:tcMar>
              <w:top w:w="57" w:type="dxa"/>
              <w:left w:w="57" w:type="dxa"/>
              <w:bottom w:w="57" w:type="dxa"/>
              <w:right w:w="57" w:type="dxa"/>
            </w:tcMar>
            <w:vAlign w:val="center"/>
          </w:tcPr>
          <w:p>
            <w:pPr>
              <w:widowControl/>
              <w:spacing w:line="29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9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267</w:t>
            </w:r>
          </w:p>
        </w:tc>
        <w:tc>
          <w:tcPr>
            <w:tcW w:w="134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中外合资经营、中外合作经营的演出经纪机构设立审批</w:t>
            </w:r>
          </w:p>
        </w:tc>
        <w:tc>
          <w:tcPr>
            <w:tcW w:w="76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文化和旅游部</w:t>
            </w:r>
          </w:p>
        </w:tc>
        <w:tc>
          <w:tcPr>
            <w:tcW w:w="1320" w:type="dxa"/>
            <w:tcMar>
              <w:top w:w="57" w:type="dxa"/>
              <w:left w:w="57" w:type="dxa"/>
              <w:bottom w:w="57" w:type="dxa"/>
              <w:right w:w="57" w:type="dxa"/>
            </w:tcMar>
            <w:vAlign w:val="center"/>
          </w:tcPr>
          <w:p>
            <w:pPr>
              <w:widowControl/>
              <w:spacing w:line="29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9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268</w:t>
            </w:r>
          </w:p>
        </w:tc>
        <w:tc>
          <w:tcPr>
            <w:tcW w:w="134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香港特别行政区、澳门特别行政区的投资者在内地投资设立合资、合作、独资经营的演出场所经营单位从事演出场所经营活动审批</w:t>
            </w:r>
          </w:p>
        </w:tc>
        <w:tc>
          <w:tcPr>
            <w:tcW w:w="76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9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9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9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9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9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269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台湾地区的投资者在内地投资设立合资、合作经营的演出场所经营单位从事演出场所经营活动审批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中外合资经营、中外合作经营的演出场所经营单位设立审批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文化和旅游部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4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香港特别行政区、澳门特别行政区的投资者在内地投资设立合资、合作、独资经营的演出经纪机构从事营业性演出经营活动审批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台湾地区的投资者在内地投资设立合资、合作经营的演出经纪机构从事营业性演出经营活动审批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香港特别行政区、澳门特别行政区服务提供者在内地设立内地方控股的合资文艺表演团体从事营业性演出活动审批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《营业性演出</w:t>
            </w:r>
            <w:r>
              <w:rPr>
                <w:rFonts w:hint="eastAsia" w:ascii="Times New Roman" w:hAnsi="Times New Roman" w:eastAsia="方正书宋_GBK" w:cs="方正书宋_GBK"/>
                <w:color w:val="000000"/>
                <w:spacing w:val="-6"/>
                <w:kern w:val="0"/>
                <w:sz w:val="20"/>
                <w:szCs w:val="20"/>
                <w:lang w:bidi="ar"/>
              </w:rPr>
              <w:t>管理条例》《内</w:t>
            </w:r>
            <w:r>
              <w:rPr>
                <w:rFonts w:hint="eastAsia" w:ascii="Times New Roman" w:hAnsi="Times New Roman" w:eastAsia="方正书宋_GBK" w:cs="方正书宋_GBK"/>
                <w:color w:val="000000"/>
                <w:kern w:val="0"/>
                <w:sz w:val="20"/>
                <w:szCs w:val="20"/>
                <w:lang w:bidi="ar"/>
              </w:rPr>
              <w:t>地与香港关于建立更紧密经贸关系的安排》《内地与澳门关于建立更紧密经贸关系的安排》</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旅行社经营出国旅游业务资格审批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文化和旅游部；省级文化和旅游部门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《中华人民共和国旅游法》《旅行社条例》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1.实现申请、审批全程网上办理。2.网上公布审批程序、受理条件、办理标准，公开办理进度。</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旅行社经营赴港澳旅游业务资格审批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文化和旅游部；省级文化和旅游部门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《中华人民共和国旅游法》《旅行社条例》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1.实现申请、审批全程网上办理。2.网上公布审批程序、受理条件、办理标准，公开办理进度。</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1.开展“双随机、一公开”监管，发现未经许可经营旅行社业务，出租、出借、转让业务经营许可证，未经许可经营出境旅游等违法违规行为的要依法查处。2.加强信用监管，对失信主体开展联合惩戒。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旅行社经营边境游资格审批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《中华人民共和国旅游法》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1.实现申请、审批全程网上办理。2.网上公布审批程序、受理条件、办理标准，公开办理进度。</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1.开展“双随机、一公开”监管，发现未经许可经营旅行社业务，出租、出借、转让业务经营许可证，未经许可经营边境旅游业务等违法违规行为的要依法查处。2.加强信用监管，对失信主体开展联合惩戒。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外商投资旅行社业务许可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《旅行社条例》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1.实现申请、审批全程网上办理。2.网上公布审批程序、受理条件、办理标准，公开办理进度。</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未经许可经营旅行社业务，出租、出借、转让业务经营许可证，未经许可经营出境旅游、边境旅游业务等违法违规行为的要依法查处。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美术品进出口经营活动审批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省级文化和旅游部门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1.开展“双随机、一公开”监管，发现违法违规行为的要依法查处。2.加强信用监管，对失信主体开展联合惩戒。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279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饮用水供水单位卫生许可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卫生许可证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《中华人民共和国传染病防治法》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不再要求申请人提供从业人员健康体检合格证明。</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1.开展“双随机、一公开”监管，发现违法违规行为的要依法查处并公开结果。2.加强信用监管，向社会公布饮用水供水单位信用状况，对失信主体开展联合惩戒。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生产用于传染病防治的消毒产品的单位审批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消毒产品生产企业卫生许可证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《中华人民共和国传染病防治法》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1.推动实现申请、审批全程网上办理并在网上公开办理进度。2.将审批时限由20个工作日压减至14个工作日。3.不再要求申请人提供营业执照复印件。</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违法宣传疗效、非法添加违禁物质等问题开展专项整治。3.加强“互联网+监管”，开展消毒产品生产企业分类监督、综合评价工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281</w:t>
            </w:r>
          </w:p>
        </w:tc>
        <w:tc>
          <w:tcPr>
            <w:tcW w:w="134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个人剂量监测、放射防护器材和含放射性产品检测、医疗机构放射性危害评价等技术服务机构认定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放射卫生技术服务机构资质证书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《中华人民共和国职业病防治法》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不再要求申请人提供单位简介、质量管理手册和程序文件目录等材料。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放射源诊疗技术和医用辐射机构许可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放射诊疗许可证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《中华人民共和国职业病防治法》《放射性同位素与射线装置安全和防护条例》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设置戒毒医疗机构或者医疗机构从事戒毒治疗业务许可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医疗机构执业许可证（副本备注“戒毒医疗服务”）</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《中华人民共和国禁毒法》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1.对医疗机构开展定期校验，对医疗机构的戒毒治疗活动加强监督，发现问题的要及时依法处理。2.加强对戒毒诊疗新技术、新项目的临床管理。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计划生育技术服务机构执业许可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计划生育技术服务机构执业许可证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《计划生育技术服务管理条例》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取消计划生育技术服务机构设置审查环节，有关机构直接申请办理执业许可。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1.加强监督管理，发现违法违规行为的要依法查处并公开结果。2.加强信用监管，将计划生育技术服务机构执业状况记入信用记录并向社会公布。3.依法及时处理投诉举报。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母婴保健技术服务机构执业许可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母婴保健技术服务机构执业许可证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《中华人民共和国母婴保健法》《中华人民共和国母婴保健法实施办法》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将母婴保健技术服务执业许可证3年有效期满需重新办理审批手续，改为每3年1次对母婴保健专项技术服务机构进行校验。</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母婴保健专项技术质量控制。2.开展“双随机、一公开”监管，发现违法违规行为的要依法查处并公开结果。3.加强信用监管，向社会公布母婴保健专项技术服务机构信用状况。4.依法及时处理投诉举报。5.加强母婴保健专项技术服务行业自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医疗机构开展人类辅助生殖技术许可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医疗机构开展人类辅助生殖技术许可批件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《国务院对确需保留的行政审批项目设定行政许可的决定》《计划生育技术服务管理条例》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每半年1次向社会公布人类辅助生殖技术配置规划及全国已取得人类辅助生殖技术许可的医疗机构名单，并在接到新的申请后1个月内向社会公开申请机构信息。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有关信息系统，及时更新公布人类辅助生殖技术机构相关信息。2.制定质量控制标准，建立健全质量控制体系。3.开展“双随机、一公开”监管，发现违法违规行为的要依法查处并公开结果。4.加强行业自律和社会监督。5.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医疗机构人体器官移植执业资格认定有关内容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医疗机构执业许可证（人体器官移植诊疗科目登记）</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《人体器官移植条例》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1.实现网上提交申请材料。2.将专家评审时限由90天压减至60天。</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国家卫生健康委应当加强对人体器官移植医疗机构的规划管理，并对省级卫生健康部门审批行为进行严格监管。2.健全以信息化监管为主、随机飞行检查为辅的监管机制，针对薄弱领域和存在的问题进行重点监管。3.会同有关部门完善防范打击组织出卖人体器官违法犯罪数据资源共享机制和联动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0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医疗机构设置审批（含港澳台、不含诊所）</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设置医疗机构批准书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按照国务院卫生健康部门的规定，对部分医疗机构取消设置审批环节，将其整合至执业登记环节一并办理。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1.对医疗机构开展定期校验，加强对医疗机构执业活动的监管，发现违法违规行为的要依法查处并公开结果。2.组织开展医疗机构评审。3.依法及时处理投诉举报。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289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医疗机构执业登记（不含诊所）</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医疗机构执业许可证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1.取消医疗机构验资证明。2.实现医疗机构电子化注册登记。</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1.对医疗机构开展定期校验，加强对医疗机构执业活动的监管，发现违法违规行为的要依法查处并公开结果。2.组织开展医疗机构评审。3.依法及时处理投诉举报。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职业卫生技术服务机构甲级资质认可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职业卫生技术服务机构资质证书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国家卫生健康委</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《中华人民共和国职业病防治法》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1.取消省级卫生健康部门初审环节。2.取消对注册资金和固定资产的要求。3.取消甲级机构跨省（区、市）服务备案。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9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职业卫生技术服务机构乙级资质认可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职业卫生技术服务机构资质证书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《中华人民共和国职业病防治法》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原有的职业卫生技术服务机构（除煤矿外）乙级、丙级资质和职业卫生技术服务机构（煤矿）乙级资质整合为职业卫生技术服务机构乙级资质。2.取消职业卫生技术服务机构乙级资质认可由设区的市级卫生健康部门初审环节。3.取消对注册资金和固定资产的要求。</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脐带血造血干细胞库设置审批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脐带血造血干细胞库许可证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国家卫生健康委</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《中华人民共和国献血法》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1.实现网上提交申请材料。2.将审批时限由20个工作日压减至15个工作日。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1.开展“双随机、一公开”监管，发现违法违规行为的要依法查处并公开结果。2.利用信息化手段加强监管。3.依法及时处理投诉举报。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血站设立及执业审批（脐带血造血干细胞库设置除外）</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血站执业许可证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《中华人民共和国献血法》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1.实现网上提交申请材料。2.将审批时限由20个工作日压减至15个工作日。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1.开展“双随机、一公开”监管，发现违法违规行为的要依法查处并公开结果。2.利用信息化手段加强监管。3.依法及时处理投诉举报。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单采血浆站设置审批及许可证核发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单采血浆许可证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《血液制品管理条例》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1.实现网上提交申请材料。2.将审批时限由20个工作日压减至15个工作日。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1.开展“双随机、一公开”监管，发现违法违规行为的要依法查处并公开结果。2.利用信息化手段加强监管。3.依法及时处理投诉举报。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医疗机构设置人类精子库审批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人类精子库批准证书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每半年1次向社会公布人类精子库配置规划及全国已取得设置人类精子库许可的医疗机构名单，并在接到新的申请后1个月内向社会公开申请机构信息。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有关信息系统，及时更新公布设置人类精子库的医疗机构相关信息。2.制定质量控制标准，建立健全质量控制体系。3.开展“双随机、一公开”监管，发现违法违规行为的要依法查处并公开结果。4.加强行业自律和社会监督。5.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甲类大型医用设备配置许可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甲类大型医用设备配置许可证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国家卫生健康委</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1.实现申请、审批全程网上办理并在网上公布审批程序、受理条件、评审标准，公开办理进度。2.不再要求申请人提供医疗机构执业许可证副本复印件。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提供虚假材料、未达到承诺要求或者采取其他欺骗手段取得配置许可证的要依法处理。2.加强医疗机构执业活动监管，发现违法违规行为的要依法查处并公开结果。3.加强信用监管，向社会公布配置甲类大型医用设备医疗机构的信用状况。4.依法及时处理投诉举报。5.加强行业自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2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麻醉药品和第一类精神药品购用许可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麻醉药品和第一类精神药品购用印鉴卡</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设区的市级卫生健康部门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不再要求申请人提供医疗机构执业许可证副本复印件。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对麻醉药品和精神药品采购、处方开具、临床合理使用、回收、销毁等各项规定，发现问题的及时依法处理。2.实时统计和跟踪药品使用情况，掌握印鉴卡管理状态，实现麻醉药品和精神药品全程闭环管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5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安全生产检测检验机构资质认可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安全生产检测检验机构资质证书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省级应急管理部门、煤矿安全生产监管部门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《中华人民共和国安全生产法》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许可申请材料清单管理，不得要求申请人提供清单以外的证明材料。2.不再将安全生产检测检验机构取得法定计量认证作为前置条件。3.推行法定代表人承诺、公司承诺管理，对申请材料真实性、固定资产等实行告知承诺。4.依托有关平台，提供统一信息查询服务，便于机构跨区域从业和属地监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制定全国统一的机构资质认定标准和执法标准，明确监管管辖权，规范自由裁量权。2.开展“双随机、一公开”监管和信用监管，加强执法监督，对失信主体实行联合惩戒。3.加强对安全生产检测检验机构有关信息的共享和公开，接受社会监督。4.发挥行业组织自律作用，完善技术仲裁工作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5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299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安全评价机构资质认可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安全评价机构资质证书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省级应急管理部门、煤矿安全生产监管部门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《中华人民共和国安全生产法》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行许可申请材料清单管理，不得要求申请人提供清单外的证明材料。2.不再要求申请人提供安全评价师、安全工程师等人员资格证明材料，实行联网查询。3.推行法定代表人承诺、公司承诺管理，对申请材料真实性、固定资产、办公面积等实行告知承诺管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健全安全评价机构审批工作制度，制定全国统一的机构资质认定标准和执法标准，明确监管管辖权，规范自由裁量权。2.开展“双随机、一公开”监管和信用监管，加强执法监督，对失信主体实行联合惩戒。3.加强对安全评价机构有关信息的共享和公开，接受社会监督。4.发挥行业组织自律作用，完善技术仲裁工作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8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跨省运营的石油天然气管道储运分（子）公司安全生产许可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安全生产许可证（危险化学品）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应急管理部；省级应急管理部门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sz w:val="20"/>
                <w:szCs w:val="20"/>
              </w:rPr>
              <w:t>1.暂时调整适用《安全生产许可证条例》中关于审批权限的规定，将审批权限由应急管理部下放至省级应急管理部门。2.出台陆上油气管道企业安全生产许可证管理办法。</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1.开展“双随机、一公开”监管，发现违法违规行为的要依法严查重处并公开结果。2.加强信用监管，向社会公布跨省运营的石油天然气管道储运分（子）公司信用状况，对失信主体开展联合惩戒。</w:t>
            </w:r>
          </w:p>
        </w:tc>
        <w:tc>
          <w:tcPr>
            <w:tcW w:w="774" w:type="dxa"/>
            <w:tcMar>
              <w:top w:w="57" w:type="dxa"/>
              <w:left w:w="57" w:type="dxa"/>
              <w:bottom w:w="57" w:type="dxa"/>
              <w:right w:w="57" w:type="dxa"/>
            </w:tcMar>
            <w:vAlign w:val="center"/>
          </w:tcPr>
          <w:p>
            <w:pPr>
              <w:widowControl/>
              <w:spacing w:line="24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非煤矿山企业安全生产许可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1.实现申请、审批全程网上办理。2.不再要求地质勘探单位提供地质勘查资质证书复印件，不再要求从事爆破作业的金属非金属矿山、地质勘查和采掘施工单位提供爆破作业单位许可证复印件。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海洋石油天然气企业安全生产许可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安全生产（非煤矿山）许可证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应急管理部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1.实现申请、审批全程网上办理。2.不再要求申请人提交海洋石油特种设备合格检测报告并取得安全使用证或安全标志。</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主体及其有关人员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烟花爆竹生产企业安全生产许可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1.开展“双随机、一公开”监管，发现违法违规行为的要依法严查重处并公开结果。2.加强信用监管，向社会公布烟花爆竹生产企业信用状况，对失信主体开展联合惩戒。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烟花爆竹经营（批发）许可</w:t>
            </w:r>
          </w:p>
        </w:tc>
        <w:tc>
          <w:tcPr>
            <w:tcW w:w="765" w:type="dxa"/>
            <w:tcMar>
              <w:top w:w="57" w:type="dxa"/>
              <w:left w:w="57" w:type="dxa"/>
              <w:bottom w:w="57" w:type="dxa"/>
              <w:right w:w="57" w:type="dxa"/>
            </w:tcMar>
            <w:vAlign w:val="center"/>
          </w:tcPr>
          <w:p>
            <w:pPr>
              <w:widowControl/>
              <w:spacing w:line="280" w:lineRule="exact"/>
              <w:jc w:val="distribute"/>
              <w:textAlignment w:val="center"/>
              <w:rPr>
                <w:rFonts w:hint="eastAsia" w:ascii="Times New Roman" w:hAnsi="Times New Roman" w:eastAsia="方正书宋_GBK" w:cs="方正书宋_GBK"/>
                <w:color w:val="000000"/>
                <w:kern w:val="0"/>
                <w:sz w:val="20"/>
                <w:szCs w:val="20"/>
                <w:lang w:bidi="ar"/>
              </w:rPr>
            </w:pPr>
            <w:r>
              <w:rPr>
                <w:rFonts w:hint="eastAsia" w:ascii="Times New Roman" w:hAnsi="Times New Roman" w:eastAsia="方正书宋_GBK" w:cs="方正书宋_GBK"/>
                <w:color w:val="000000"/>
                <w:kern w:val="0"/>
                <w:sz w:val="20"/>
                <w:szCs w:val="20"/>
                <w:lang w:bidi="ar"/>
              </w:rPr>
              <w:t>烟花爆竹经营</w:t>
            </w:r>
          </w:p>
          <w:p>
            <w:pPr>
              <w:widowControl/>
              <w:spacing w:line="280" w:lineRule="exact"/>
              <w:ind w:left="-30" w:leftChars="-10" w:right="-30" w:rightChars="-10"/>
              <w:jc w:val="distribute"/>
              <w:textAlignment w:val="center"/>
              <w:rPr>
                <w:rFonts w:hint="eastAsia" w:ascii="Times New Roman" w:hAnsi="Times New Roman" w:eastAsia="方正书宋_GBK" w:cs="方正书宋_GBK"/>
                <w:color w:val="000000"/>
                <w:spacing w:val="-8"/>
                <w:kern w:val="0"/>
                <w:sz w:val="20"/>
                <w:szCs w:val="20"/>
                <w:lang w:bidi="ar"/>
              </w:rPr>
            </w:pPr>
            <w:r>
              <w:rPr>
                <w:rFonts w:hint="eastAsia" w:ascii="Times New Roman" w:hAnsi="Times New Roman" w:eastAsia="方正书宋_GBK" w:cs="方正书宋_GBK"/>
                <w:color w:val="000000"/>
                <w:spacing w:val="-8"/>
                <w:kern w:val="0"/>
                <w:sz w:val="20"/>
                <w:szCs w:val="20"/>
                <w:lang w:bidi="ar"/>
              </w:rPr>
              <w:t>（批发）</w:t>
            </w:r>
          </w:p>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《烟花爆竹安全管理条例》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1.开展“双随机、一公开”监管，发现违法违规行为的依法严查重处并公开结果。2.加强信用监管，向社会公布烟花爆竹经营（批发）企业信用状况，对失信主体开展联合惩戒。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烟花爆竹经营（零售）许可</w:t>
            </w:r>
          </w:p>
        </w:tc>
        <w:tc>
          <w:tcPr>
            <w:tcW w:w="765" w:type="dxa"/>
            <w:tcMar>
              <w:top w:w="57" w:type="dxa"/>
              <w:left w:w="57" w:type="dxa"/>
              <w:bottom w:w="57" w:type="dxa"/>
              <w:right w:w="57" w:type="dxa"/>
            </w:tcMar>
            <w:vAlign w:val="center"/>
          </w:tcPr>
          <w:p>
            <w:pPr>
              <w:widowControl/>
              <w:spacing w:line="280" w:lineRule="exact"/>
              <w:jc w:val="distribute"/>
              <w:textAlignment w:val="center"/>
              <w:rPr>
                <w:rFonts w:hint="eastAsia" w:ascii="Times New Roman" w:hAnsi="Times New Roman" w:eastAsia="方正书宋_GBK" w:cs="方正书宋_GBK"/>
                <w:color w:val="000000"/>
                <w:kern w:val="0"/>
                <w:sz w:val="20"/>
                <w:szCs w:val="20"/>
                <w:lang w:bidi="ar"/>
              </w:rPr>
            </w:pPr>
            <w:r>
              <w:rPr>
                <w:rFonts w:hint="eastAsia" w:ascii="Times New Roman" w:hAnsi="Times New Roman" w:eastAsia="方正书宋_GBK" w:cs="方正书宋_GBK"/>
                <w:color w:val="000000"/>
                <w:kern w:val="0"/>
                <w:sz w:val="20"/>
                <w:szCs w:val="20"/>
                <w:lang w:bidi="ar"/>
              </w:rPr>
              <w:t>烟花爆竹经营</w:t>
            </w:r>
          </w:p>
          <w:p>
            <w:pPr>
              <w:widowControl/>
              <w:spacing w:line="280" w:lineRule="exact"/>
              <w:ind w:left="-30" w:leftChars="-10" w:right="-30" w:rightChars="-10"/>
              <w:jc w:val="distribute"/>
              <w:textAlignment w:val="center"/>
              <w:rPr>
                <w:rFonts w:hint="eastAsia" w:ascii="Times New Roman" w:hAnsi="Times New Roman" w:eastAsia="方正书宋_GBK" w:cs="方正书宋_GBK"/>
                <w:color w:val="000000"/>
                <w:spacing w:val="-8"/>
                <w:kern w:val="0"/>
                <w:sz w:val="20"/>
                <w:szCs w:val="20"/>
                <w:lang w:bidi="ar"/>
              </w:rPr>
            </w:pPr>
            <w:r>
              <w:rPr>
                <w:rFonts w:hint="eastAsia" w:ascii="Times New Roman" w:hAnsi="Times New Roman" w:eastAsia="方正书宋_GBK" w:cs="方正书宋_GBK"/>
                <w:color w:val="000000"/>
                <w:spacing w:val="-8"/>
                <w:kern w:val="0"/>
                <w:sz w:val="20"/>
                <w:szCs w:val="20"/>
                <w:lang w:bidi="ar"/>
              </w:rPr>
              <w:t>（零售）</w:t>
            </w:r>
          </w:p>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《烟花爆竹安全管理条例》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1.开展“双随机、一公开”监管，发现违法违规行为的依法严查重处并公开结果。2.加强信用监管，向社会公布烟花爆竹经营（零售）企业信用状况，对失信主体开展联合惩戒。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第一类非药品类易制毒化学品生产许可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第一类非药品类易制毒化学品生产许可证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《易制毒化学品管理条例》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1.实现申请、审批全程网上办理。2.将审批时限由60个工作日压减至40个工作日。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1.开展“双随机、一公开”监管，发现违法违规行为的依法严查重处并公开结果。2.加强信用监管，向社会公布第一类非药品类易制毒化学品生产企业信用状况，对失信主体开展联合惩戒。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第一类非药品类易制毒化学品经营许可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第一类非药品类易制毒化学品经营许可证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《易制毒化学品管理条例》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1.开展“双随机、一公开”监管，发现违法违规行为的依法严查重处并公开结果。2.加强信用监管，向社会公布第一类非药品类易制毒化学品经营企业信用状况，对失信主体开展联合惩戒。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危险化学品生产企业安全生产许可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应急部；省、设区的市、县（市、区）级应急管理部门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《危险化学品安全管理条例》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1.开展“双随机、一公开”监管，发现违法违规行为的依法严查重处并公开结果。2.加强信用监管，向社会公布危险化学品生产企业信用状况，对失信主体开展联合惩戒。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309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1.开展“双随机、一公开”监管，发现违法违规行为的依法严查重处并公开结果。2.加强信用监管，向社会公布危险化学品经营企业信用状况，对失信主体开展联合惩戒。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危险化学品安全使用许可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危险化学品安全使用许可证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1.开展“双随机、一公开”监管，发现违法违规行为的依法严查重处并公开结果。2.加强信用监管，向社会公布危险化学品使用企业信用状况，对失信主体开展联合惩戒。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危险化学品建设项目的安全条件审查</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危险化学品建设项目安全条件审查意见书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应急管理</w:t>
            </w:r>
            <w:r>
              <w:rPr>
                <w:rFonts w:hint="eastAsia" w:ascii="Times New Roman" w:hAnsi="Times New Roman" w:eastAsia="方正书宋_GBK" w:cs="方正书宋_GBK"/>
                <w:color w:val="000000"/>
                <w:spacing w:val="-11"/>
                <w:kern w:val="0"/>
                <w:sz w:val="20"/>
                <w:szCs w:val="20"/>
                <w:lang w:bidi="ar"/>
              </w:rPr>
              <w:t>部；省、设</w:t>
            </w:r>
            <w:r>
              <w:rPr>
                <w:rFonts w:hint="eastAsia" w:ascii="Times New Roman" w:hAnsi="Times New Roman" w:eastAsia="方正书宋_GBK" w:cs="方正书宋_GBK"/>
                <w:color w:val="000000"/>
                <w:kern w:val="0"/>
                <w:sz w:val="20"/>
                <w:szCs w:val="20"/>
                <w:lang w:bidi="ar"/>
              </w:rPr>
              <w:t>区的市级应急管理部门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国务院审批（核准、备案）或跨省的危险化学品生产、储存建设项目安全条件审查</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危险化学品建设项目安全条件审查意见书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应急管理</w:t>
            </w:r>
            <w:r>
              <w:rPr>
                <w:rFonts w:hint="eastAsia" w:ascii="Times New Roman" w:hAnsi="Times New Roman" w:eastAsia="方正书宋_GBK" w:cs="方正书宋_GBK"/>
                <w:color w:val="000000"/>
                <w:spacing w:val="-11"/>
                <w:kern w:val="0"/>
                <w:sz w:val="20"/>
                <w:szCs w:val="20"/>
                <w:lang w:bidi="ar"/>
              </w:rPr>
              <w:t>部；省、设</w:t>
            </w:r>
            <w:r>
              <w:rPr>
                <w:rFonts w:hint="eastAsia" w:ascii="Times New Roman" w:hAnsi="Times New Roman" w:eastAsia="方正书宋_GBK" w:cs="方正书宋_GBK"/>
                <w:color w:val="000000"/>
                <w:kern w:val="0"/>
                <w:sz w:val="20"/>
                <w:szCs w:val="20"/>
                <w:lang w:bidi="ar"/>
              </w:rPr>
              <w:t>区的市级应急管理部门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危险化学品生产、储存建设项目安全条件审查</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危险化学品建设项目安全条件审查意见书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应急管理</w:t>
            </w:r>
            <w:r>
              <w:rPr>
                <w:rFonts w:hint="eastAsia" w:ascii="Times New Roman" w:hAnsi="Times New Roman" w:eastAsia="方正书宋_GBK" w:cs="方正书宋_GBK"/>
                <w:color w:val="000000"/>
                <w:spacing w:val="-11"/>
                <w:kern w:val="0"/>
                <w:sz w:val="20"/>
                <w:szCs w:val="20"/>
                <w:lang w:bidi="ar"/>
              </w:rPr>
              <w:t>部；省、设</w:t>
            </w:r>
            <w:r>
              <w:rPr>
                <w:rFonts w:hint="eastAsia" w:ascii="Times New Roman" w:hAnsi="Times New Roman" w:eastAsia="方正书宋_GBK" w:cs="方正书宋_GBK"/>
                <w:color w:val="000000"/>
                <w:kern w:val="0"/>
                <w:sz w:val="20"/>
                <w:szCs w:val="20"/>
                <w:lang w:bidi="ar"/>
              </w:rPr>
              <w:t>区的市级应急管理部门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《危险化学品安全管理条例》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1.实现申请、审批全程网上办理。2.将审批时限由45个工作日压减至30个工作日。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1.开展“双随机、一公开”监管，发现违法违规行为的依法严查重处并公开结果。3.加强信用监管，对失信主体开展联合惩戒。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经营个人征信业务的征信机构审批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个人征信业务经营许可证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《征信业管理条例》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将审批信息统一归集至有关信息平台。2.对许可证件有效期限内未发生行政处罚、责任事故、被列入失信被执行人名单的征信机构，在许可证书有效期满时自愿承诺符合相关审批要求的，实行直接换证（但不得连续两次申请直接换证）。</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依法及时处理投诉举报，对发现的违法违规行为要依法查处并公开结果。3.加强对征信机构的现场检查和非现场监测，确保不发生系统性金融风险。</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境外征信机构在境内经营征信业务审批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关于境外征信机构在境内经营征信业务批复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《征信业管理条例》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1.实现申请、审批全程网上办理，并将审批信息统一归集至有关数据平台。2.不再要求申请人提供在申请注册环节已经提交的申请材料，压减审批材料数量30%以上。</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依法及时处理投诉举报，发现违法违规行为的要依法查处并公开结果。3.加强对征信机构的现场检查和非现场监测，确保不发生系统性金融风险。</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5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银行卡清算机构准入</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银行卡清算业务许可证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《国务院关于实施银行卡清算机构准入管理的决定》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1.发布银行卡清算机构准入服务指南，公开审批依据、申请条件、材料目录。2.申请人对董事和高级管理人员无犯罪证明、未受行政处罚证明等自愿作出承诺的，不再要求申请人提供有关部门证明材料。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完善持牌机构管理、交易转接合作管理、银行卡清算业务管理等制度，明确监管事项和报告事项，加强对企业的日常监管。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银行间债券市场结算代理人审批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银行间债券市场做市商审批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319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商业银行、信用社代理支库业务审批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代理支库业务资格证书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人民银行副省级城市中心支行以上分支机构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1.将审批时限由20个工作日压减至15个工作日。2.不再要求申请人提供经营金融业务许可证复印件。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1.开展“双随机、一公开”监管，将代理支库业务检查纳入综合执法检查，发现违法违规行为的要依法查处。2.制定代理国库（包括代理支库）业务违规处罚标准。3.推广国库会计数据集中系统应用。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国库集中支付代理银行资格认定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准予行政许可决定书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1.将许可证件有效期由2年延长至5年。2.将审批时限由20个工作日压减至15个工作日。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1.严格执行法律法规和标准，通过对中央财政国库集中收付业务的现场检查，加强对代理银行的监管。2.开展“双随机、一公开”监管、专项检查等，依法处罚违法行为。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黄金及黄金制品进出口审批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黄金及黄金制品进出口准许证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人民银行总行及上海总部，各分行、营业管理部、省会（首府）城市中心支行，深圳市中心支行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实施“互联网+监管”，对接有关信息平台进行有效监管。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进入全国银行间债券市场备案</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备案通知书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支付业务许可证核发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支付业务许可证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人民银行总行</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《中华人民共和国中国人民银行法》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不再要求申请人提供验资证明等材料。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1.开展“双随机、一公开”监管，发现违法违规行为的要依法查处并公开结果。2.加强信用监管，建立分类评级机制，根据评级结果采取差异化监管措施。3.依法及时处理投诉举报。4.支持行业协会发挥自律作用。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进出口商品检验鉴定业务的检验许可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进出口商品检验鉴定机构资格证书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海关总署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《中华人民共和国进出口商品检验法》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1.实现申请、审批全程网上办理。2.不再要求申请人提供住所证明、体系文件、股东证明等材料。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进出口质量安全问题、退运商品和投诉举报的企业实施重点监管，发现有违法违规行为的要依法查处。3.健全鉴定机构年报制度，对年报信息进行核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口岸卫生许可证（涉及食品、饮用水）核发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国境口岸卫生许可证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主管海关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《中华人民共和国国境卫生检疫法实施细则》</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1.严格执行有关法律法规和标准，开展“双随机、一公开”监管，发现违法违规行为的要依法查处并公开结果。2.加强信用监管，向社会公布企业信用状况，对失信主体开展联合惩戒。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免税商店设立审批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行政许可决定书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海关总署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1.对于口岸进、出境免税商店的设立，由拟设地直属海关代为接收申请文件并完成实地检查，将结果反馈海关总署。2.推动实现申请、审批全程网上办理。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保税物流中心（A型）设立审批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保税物流中心</w:t>
            </w:r>
            <w:r>
              <w:rPr>
                <w:rFonts w:hint="eastAsia" w:ascii="Times New Roman" w:hAnsi="Times New Roman" w:eastAsia="方正书宋_GBK" w:cs="方正书宋_GBK"/>
                <w:color w:val="000000"/>
                <w:spacing w:val="-11"/>
                <w:kern w:val="0"/>
                <w:sz w:val="20"/>
                <w:szCs w:val="20"/>
                <w:lang w:bidi="ar"/>
              </w:rPr>
              <w:t>（A型</w:t>
            </w:r>
            <w:r>
              <w:rPr>
                <w:rFonts w:hint="eastAsia" w:ascii="Times New Roman" w:hAnsi="Times New Roman" w:eastAsia="方正书宋_GBK" w:cs="方正书宋_GBK"/>
                <w:color w:val="000000"/>
                <w:kern w:val="0"/>
                <w:sz w:val="20"/>
                <w:szCs w:val="20"/>
                <w:lang w:bidi="ar"/>
              </w:rPr>
              <w:t>）注册登记证书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保税物流中心（B型）设立审批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保税物流中心</w:t>
            </w:r>
            <w:r>
              <w:rPr>
                <w:rFonts w:hint="eastAsia" w:ascii="Times New Roman" w:hAnsi="Times New Roman" w:eastAsia="方正书宋_GBK" w:cs="方正书宋_GBK"/>
                <w:color w:val="000000"/>
                <w:spacing w:val="-11"/>
                <w:kern w:val="0"/>
                <w:sz w:val="20"/>
                <w:szCs w:val="20"/>
                <w:lang w:bidi="ar"/>
              </w:rPr>
              <w:t>（B型</w:t>
            </w:r>
            <w:r>
              <w:rPr>
                <w:rFonts w:hint="eastAsia" w:ascii="Times New Roman" w:hAnsi="Times New Roman" w:eastAsia="方正书宋_GBK" w:cs="方正书宋_GBK"/>
                <w:color w:val="000000"/>
                <w:kern w:val="0"/>
                <w:sz w:val="20"/>
                <w:szCs w:val="20"/>
                <w:lang w:bidi="ar"/>
              </w:rPr>
              <w:t>）注册登记证书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海关总署会同财政部、税务总局、外汇局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每半年1次公布存量保税物流中心（B型）情况。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开展“双随机、一公开”监管、跨部门联合监管等，对经营企业加强监管，发现违法违规行为的要依法查处。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329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出口监管仓库设立审批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出口监管仓库注册登记证书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保税仓库设立审批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保税仓库注册登记证书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海关监管货物仓储审批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经营海关监管作业场所企业注册登记证书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直属海关、隶属海关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《中华人民共和国海关法》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1.实现申请、审批全程网上办理。2.取消许可证有效期，改为长期有效。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开展“双随机、一公开”监管，根据不同风险程度、信用水平，合理确定抽查比例。</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从事进出境检疫处理业务的单位认定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出入境检疫处理单位核准证书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《中华人民共和国进出境动植物检验法实施条例》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1.严格执行有关法律法规和标准，对检疫处理过程加强监管，对检疫处理效果进行监督评价。2.每年至少组织1次对检疫处理单位、工作人员及其操作情况的监督检查。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仅限进出境检疫处理业务的单位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出境动物及其产品、其他检疫物的生产、加工、存放单位注册登记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pacing w:val="-4"/>
                <w:kern w:val="0"/>
                <w:sz w:val="20"/>
                <w:szCs w:val="20"/>
                <w:lang w:bidi="ar"/>
              </w:rPr>
            </w:pPr>
            <w:r>
              <w:rPr>
                <w:rFonts w:hint="eastAsia" w:ascii="Times New Roman" w:hAnsi="Times New Roman" w:eastAsia="方正书宋_GBK" w:cs="方正书宋_GBK"/>
                <w:color w:val="000000"/>
                <w:kern w:val="0"/>
                <w:sz w:val="20"/>
                <w:szCs w:val="20"/>
                <w:lang w:bidi="ar"/>
              </w:rPr>
              <w:t>出口×</w:t>
            </w:r>
            <w:r>
              <w:rPr>
                <w:rFonts w:hint="eastAsia" w:ascii="Times New Roman" w:hAnsi="Times New Roman" w:eastAsia="方正书宋_GBK" w:cs="方正书宋_GBK"/>
                <w:color w:val="000000"/>
                <w:spacing w:val="-10"/>
                <w:kern w:val="0"/>
                <w:sz w:val="20"/>
                <w:szCs w:val="20"/>
                <w:lang w:bidi="ar"/>
              </w:rPr>
              <w:t>×生产、</w:t>
            </w:r>
          </w:p>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加工、存放企业检验检疫注册登记证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《中华人民共和国进出境动植物检疫法实施条例》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办理出境水生动物养殖场、中转场注册登记的，不再要求申请人提供养殖许可证、海域使用证、水质检测报告等材料。3.办理出口饲料生产企业注册登记的，不再要求申请人提供生产许可证明、产品审查批准文件等材料。4.办理饲养场注册登记的，不再要求申请人提供重点区域照片或视频资料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发现被境外通报的质量安全问题和违法违规行为的要依法查处。3.加强信用监管，完善黑名单制度，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4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出境植物及其产品、其他检疫物的生产、加工、存放单位注册登记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kern w:val="0"/>
                <w:sz w:val="20"/>
                <w:szCs w:val="20"/>
                <w:lang w:bidi="ar"/>
              </w:rPr>
            </w:pPr>
            <w:r>
              <w:rPr>
                <w:rFonts w:hint="eastAsia" w:ascii="Times New Roman" w:hAnsi="Times New Roman" w:eastAsia="方正书宋_GBK" w:cs="方正书宋_GBK"/>
                <w:color w:val="000000"/>
                <w:kern w:val="0"/>
                <w:sz w:val="20"/>
                <w:szCs w:val="20"/>
                <w:lang w:bidi="ar"/>
              </w:rPr>
              <w:t>出口×</w:t>
            </w:r>
            <w:r>
              <w:rPr>
                <w:rFonts w:hint="eastAsia" w:ascii="Times New Roman" w:hAnsi="Times New Roman" w:eastAsia="方正书宋_GBK" w:cs="方正书宋_GBK"/>
                <w:color w:val="000000"/>
                <w:spacing w:val="-10"/>
                <w:kern w:val="0"/>
                <w:sz w:val="20"/>
                <w:szCs w:val="20"/>
                <w:lang w:bidi="ar"/>
              </w:rPr>
              <w:t>×生产、</w:t>
            </w:r>
          </w:p>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加工、存放企业检验检疫注册登记证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《中华人民共和国进出境动植物检疫法实施条例》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发现被境外通报的质量安全问题和违法违规行为的要依法查处。3.加强信用监管，完善黑名单制度，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7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进口可用作原料的固体废物国内收货人注册登记</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进口可用作原料的固体废物国内收货人注册登记证书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直属海关</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《中华人民共和国进出口商品检验法实施条例》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通过现场检查、验证、追踪货物环保质量状况等方法加强监督检查，实施风险预警及快速反应管理，向社会公布企业信用状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7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广告发布登记</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关于准予广告发布登记的通知书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《中华人民共和国广告法》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1.推动实现广告发布登记申请、审批等全程网上办理。2.不再要求申请人提供广告业务机构证明文件及负责人任命文件、广告从业人员和广告审查人员证明文件、场所使用证明等材料。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1.加大广告监测力度，发现广告发布机构发布虚假违法广告的要依法查处。2.加强协同监管，联合有关部门共同做好广告发布机构的监管工作。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承担国家法定计量检定机构任务授权</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计量授权证书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《中华人民共和国计量法》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通过投诉举报等渠道反映问题多的机构实施重点监管。3.加强信用监管，向社会公布法定计量检定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2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食品经营许可（除仅销售预包装食品外）</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《中华人民共和国食品安全法》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1.餐饮服务经营者销售预包装食品的，不需要申请在许可证上标注销售类食品经营项目。2.不再要求申请人提供营业执照复印件等材料。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开展“双随机、一公开”监管，发挥网格化管理的优势，发现违法违规行为的要依法严查重处并公开结果。2.加强信用监管，向社会公布食品经营企业信用状况，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339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《中华人民共和国食品安全法》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除特殊食品（包括保健食品、婴幼儿配方食品和特殊医学用途配方食品）外，将审批权限由省级市场监管部门下放至市、县级市场监管部门。2.实现申请、审批全程网上办理。3.不再要求申请人提供营业执照、食品安全管理制度文本等材料。4.将审批时限由20个工作日压减至10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1.严格执行有关法律法规和标准，开展“双随机、一公开”监管，发现违法违规行为的要依法严查重处并公开结果。2.加强信用监管，向社会公布食品生产企业信用状况，对失信主体开展联合惩戒。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食品添加剂生产许可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食品生产许可证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《中华人民共和国食品安全法》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1.实现申请、审批全程网上办理。2.将审批时限由20个工作日压减至10个工作日。3.不再要求申请人提供营业执照、食品安全管理制度文本等材料。</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标准，对食品添加剂生产企业加强监管。2.开展“双随机、一公开”监管，发现违法违规行为的要依法严查重处并公开结果。3.加强信用监管，向社会公布食品添加剂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7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重要工业产品生产许可证（除食品相关产品外）核发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重要工业产品生产许可证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市场监管总局；省级市场监管部门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《中华人民共和国工业生产许可证管理条例》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特种设备检验、检测机构核准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特种设备检验检测机构核准证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市场监管总局；省级市场监管部门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《中华人民共和国特种设备安全法》《特种设备安全监察条例》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1.开展“双随机、一公开”监管，发现违法违规行为的要依法查处并公开结果。2.对有投诉举报和质量问题的企业实施重点监管。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特种设备生产单位许可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特种设备制造许可证（特种设备设计许可证、特种设备安装改造维修许可证）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市场监管总局；省级市场监管部门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《中华人民共和国特种设备安全法》《国务院对确需保留的行政审批项目设定行政许可的决定》《特种设备安全监察条例》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申请资料简化为许可申请书，不再将型式试验和监督检验作为审批前置条件。2.对许可周期内未发生行政处罚、责任事故、质量安全问题和质量投诉未结案等情况，且满足生产业绩有关规定的生产单位，在许可证书有效期满前，采取企业自愿承诺方式申请直接换证，取消鉴定评审要求，但不可连续两个许可周期申请直接换证。3.将审批时限由30</w:t>
            </w:r>
            <w:r>
              <w:rPr>
                <w:rFonts w:hint="eastAsia" w:ascii="Times New Roman" w:hAnsi="Times New Roman" w:eastAsia="方正书宋_GBK" w:cs="方正书宋_GBK"/>
                <w:color w:val="000000"/>
                <w:spacing w:val="-11"/>
                <w:kern w:val="0"/>
                <w:sz w:val="20"/>
                <w:szCs w:val="20"/>
                <w:lang w:bidi="ar"/>
              </w:rPr>
              <w:t>个工作日压减至25个工作日。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有投诉举报和质量问题的企业实施重点监管。3.检验检测机构在开展型式试验和监督检验时对持证生产单位是否符合许可条件进行检查，发现问题的及时报告有关部门。4.针对通过自愿承诺申请直接换证的生产单位，发现提交的申请材料中有虚假内容的要依法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移动式压力容器、气瓶充装单位许可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特种设备制造许可证（移动式压力容器充装许可证、气瓶充装许可证）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省级市场监管部门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《中华人民共和国特种设备安全法》《特种设备安全监察条例》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有投诉举报和发生充装事故的企业实施重点监管。3.针对通过自愿承诺申请直接换证的充装单位，发现提交的申请材料中有虚假内容的要依法处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设立认证机构（风险等级高）审批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认证机构批准书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《中华人民共和国认证认可条例》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行业发展状况和技术特点，全面梳理修订认证领域目录，按照必要性和最简化原则，对认证领域实施分类管理，对风险等级高的认证领域准入实行优化审批服务。2.取消认证机构在登记注册等环节已经提交的申请材料，压减审批材料数量30%以上。3.将审批时限由45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依法及时处理投诉举报。3.加强对认证行业的监测，针对发现的普遍性问题和突出风险开展专项检查，确保不发生系统性、区域性风险。4.加强信用监管，完善认证领域黑名单制度，对失信主体开展联合惩戒。</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从事强制性认证以及相关活动的认证机构指定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《中华人民共和国认证认可条例》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不再要求申请人提供法人登记证书和认证机构批准书等材料。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依法及时处理投诉举报。3.加强对认证行业的监测，针对发现的普遍性问题和突出风险开展专项检查，确保不发生系统性、区域性风险。</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从事强制性认证以及相关活动的实验室指定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市场监管总局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《中华人民共和国认证认可条例》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不再要求申请人提供法人登记证书等材料。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依法及时处理投诉举报。3.加强对认证行业的监测，针对发现的普遍性问题和突出风险开展专项检查，确保不发生系统性、区域性风险。</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广播电视视频点播业务许可证（甲种）审批（初审）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省级广电部门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349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广播电视视频点播业务许可证（甲种）审批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广播电视视频点播业务许可证（甲种）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将专家评审时限由30个工作日压减至20个工作日。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广播电视视频点播业务许可证（乙种）审批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广播电视视频点播业务许可证（乙种）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省级广电部门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1.不再要求申请人提供营业执照、酒店星级证明等材料。2.将审批时限由20个工作日压减至15个工作日。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境外广播电视机构在华设立办事机构审批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国家广播电视总局关于同意在华设立办事处的批复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《国务院对确需保留的行政审批项目设定行政许可的决定》《外国企业常驻代表机构登记管理条例》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办理许可证件延期时，不再要求申请人提供市场监管、公安等部门出具的批准文件。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1.加强日常监管，发现违法违规行为的要依法查处并公开结果。2.依法及时处理投诉举报，对投诉举报等渠道反映问题多的机构实施重点监管。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3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广播电视节目制作经营单位设立审批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广播电视节目制作经营许可证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广电总局；省级广电部门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1.不再要求申请人提供法定代表人身份证明复印件、营业执照等材料。2.将审批时限由20个工作日压减至15个工作日。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通过日常监听监看、受理群众举报等方式对广播电视节目制作经营单位的节目制作经营情况进行监管，发现违法违规的要及时依法查处。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设立电视剧制作单位审批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电视剧制作许可证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办理电视剧制作许可证（乙种）时不再要求申请人提供题材规划立项批准文件复印件、广播电视节目制作经营许可证复印件。2.办理电视剧制作许可证（甲种）时不再要求申请人提供电视剧制作许可证（乙种）复印件、电视剧发行许可证复印件。3.将电视剧制作许可证（乙种）有效期限由180日延长至1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通过日常监听监看、受理群众举报等方式对电视剧制作单位的电视剧制作情况进行监管，发现违法违规行为的要依法查处并公开结果。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7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信息网络传播视听节目许可证审批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信息网络传播视听节目许可证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不再要求申请人提供营业执照、广播电视节目制作经营许可证、广播电视播出机构许可证等材料。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通过实地检查、监听监看等方式对网络视听节目内容和质量进行监测，对重点节目、疑似存在问题的节目组织专家进行评议，发现问题的要及时依法处理。3.依法及时处理投诉举报，对投诉举报等渠道反映问题多的机构实施重点监管。4.加强信用监管，向社会公布经营主体信用状况。5.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9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卫星电视广播地面接收设施安装许可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卫星电视广播地面接收设施安装服务许可证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广电总局；省级广电部门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《卫星电视广播地面接收设施管理规定》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1.不再要求申请人提供营业执照、星级证明、营业场所证明、主要出资单位证明、验资证明等材料。2.将许可证有效期限由1年延长至2年。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1.依法及时处理投诉举报。2.制定年度监管计划，采取实地暗访、专项检查等方式对卫星电视广播地面接收设施安装服务机构经营情况进行监管，发现违法违规行为的要依法查处并公开结果。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跨省经营广播电视节目传送（有线）业务审批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卫星电视广播地面接收设施安装服务许可证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《国务院对确需保留的行政审批项目设定行政许可的决定》《国务院关于第六批取消和调整行政审批项目的决定》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有线传送业务，不再要求申请人提供验资报告、营业执照、设备证明、企业章程、人员证明等材料。2.对无线传送业务，取消资金保障及来源、具有必要的设计文件或技术评估报告和基本建设资金、稳定的经费保</w:t>
            </w:r>
            <w:r>
              <w:rPr>
                <w:rFonts w:hint="eastAsia" w:ascii="Times New Roman" w:hAnsi="Times New Roman" w:eastAsia="方正书宋_GBK" w:cs="方正书宋_GBK"/>
                <w:color w:val="000000"/>
                <w:spacing w:val="-6"/>
                <w:kern w:val="0"/>
                <w:sz w:val="20"/>
                <w:szCs w:val="20"/>
                <w:lang w:bidi="ar"/>
              </w:rPr>
              <w:t>障、有必要的工作场所、工作</w:t>
            </w:r>
            <w:r>
              <w:rPr>
                <w:rFonts w:hint="eastAsia" w:ascii="Times New Roman" w:hAnsi="Times New Roman" w:eastAsia="方正书宋_GBK" w:cs="方正书宋_GBK"/>
                <w:color w:val="000000"/>
                <w:kern w:val="0"/>
                <w:sz w:val="20"/>
                <w:szCs w:val="20"/>
                <w:lang w:bidi="ar"/>
              </w:rPr>
              <w:t>环境安全可靠等经营许可条件。3.将审批时限由20个工作日压减至15个工作日。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跨省经营广播电视节目传送（无线）业务审批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卫星电视广播地面接收设施安装服务许可证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广电总局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《国务院对确需保留的行政审批项目设定行政许可的决定》《国务院关于第六批取消和调整行政审批项目的决定》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3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省级行政区域内经营广播电视节目传送业务审批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广播电视节目传送业务经营许可证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省级广电部门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有线传送业务，不再要求申请人提供验资报告、营业执照、设备证明、企业章程、人员证明等材料。2.对无线传送业务，取消资金保障及来源、具有必要的设计文件或技术评估报告和基本建设资金、稳定的经费保障、有必要的工作场所、工作环境安全可靠等经营许可条件。3.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监看节目内容、受理群众举报等方式对广播电视节目传送业务进行监管，发现违法违规行为的要依法查处并公开结果。2.加强信用监管，向社会公布广播电视节目传送单位信用状况，对失信单位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0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359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兴奋剂检测机构资质认定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兴奋剂检测机构许可证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体育总局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《反兴奋剂条例》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1.推广全程网上办理，推进体育领域信息数据共享应用。2.将审批时限由20个工作日压减至15个工作日。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从事射击竞技体育运动单位审批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关于同意××设立射击竞技体育运动单位的批复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省级体育部门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《中华人民共和国枪支管理法》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1.推广全程网上办理，推进体育领域部门间信息数据共享应用。2.将审批时限由20个工作日压减至15个工作日。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经营高危险性体育项目许可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经营高危险性体育项目许可证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县级以上地方体育部门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《全民健身条例》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1.推广全程网上办理，推进体育领域信息数据共享应用。2.将审批时限由20个工作日压减至15个工作日。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设立健身气功站点审批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健身气功站点注册证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县级体育部门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1.推广全程网上办理，推进体育领域信息数据共享应用。2.将审批时限由20个工作日压减至15个工作日。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建立健全跨区域、跨层级、跨部门协同监管制度，推进联合执法。3.加强信用监管，将有严重违法违规行为的机构列入黑名单，对相关经营主体和从业人员实施信用约束和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涉外统计调查机构资格认定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中华人民共和国涉外调查许可证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国家统计局；省级人民政府统计机构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《中华人民共和国统计法》《中华人民共和国统计法实施条例》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9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364</w:t>
            </w:r>
          </w:p>
        </w:tc>
        <w:tc>
          <w:tcPr>
            <w:tcW w:w="1342"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从事出版物印刷经营活动企业（不含中外合</w:t>
            </w:r>
            <w:r>
              <w:rPr>
                <w:rFonts w:hint="eastAsia" w:ascii="Times New Roman" w:hAnsi="Times New Roman" w:eastAsia="方正书宋_GBK" w:cs="方正书宋_GBK"/>
                <w:color w:val="000000"/>
                <w:spacing w:val="-11"/>
                <w:kern w:val="0"/>
                <w:sz w:val="20"/>
                <w:szCs w:val="20"/>
                <w:lang w:bidi="ar"/>
              </w:rPr>
              <w:t>资、合作</w:t>
            </w:r>
            <w:r>
              <w:rPr>
                <w:rFonts w:hint="eastAsia" w:ascii="Times New Roman" w:hAnsi="Times New Roman" w:eastAsia="方正书宋_GBK" w:cs="方正书宋_GBK"/>
                <w:color w:val="000000"/>
                <w:kern w:val="0"/>
                <w:sz w:val="20"/>
                <w:szCs w:val="20"/>
                <w:lang w:bidi="ar"/>
              </w:rPr>
              <w:t>企业）的设立、变更审批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1.推动实现申请、审批全程网上办理。2.将审批时限由60个工作日压减至40个工作日。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从事特定印刷品</w:t>
            </w:r>
            <w:r>
              <w:rPr>
                <w:rFonts w:hint="eastAsia" w:ascii="Times New Roman" w:hAnsi="Times New Roman" w:eastAsia="方正书宋_GBK" w:cs="方正书宋_GBK"/>
                <w:color w:val="000000"/>
                <w:spacing w:val="-11"/>
                <w:kern w:val="0"/>
                <w:sz w:val="20"/>
                <w:szCs w:val="20"/>
                <w:lang w:bidi="ar"/>
              </w:rPr>
              <w:t>（</w:t>
            </w:r>
            <w:r>
              <w:rPr>
                <w:rFonts w:hint="eastAsia" w:ascii="Times New Roman" w:hAnsi="Times New Roman" w:eastAsia="方正书宋_GBK" w:cs="方正书宋_GBK"/>
                <w:color w:val="000000"/>
                <w:kern w:val="0"/>
                <w:sz w:val="20"/>
                <w:szCs w:val="20"/>
                <w:lang w:bidi="ar"/>
              </w:rPr>
              <w:t>仅限</w:t>
            </w:r>
            <w:r>
              <w:rPr>
                <w:rFonts w:hint="eastAsia" w:ascii="Times New Roman" w:hAnsi="Times New Roman" w:eastAsia="方正书宋_GBK" w:cs="方正书宋_GBK"/>
                <w:color w:val="000000"/>
                <w:spacing w:val="-11"/>
                <w:kern w:val="0"/>
                <w:sz w:val="20"/>
                <w:szCs w:val="20"/>
                <w:lang w:bidi="ar"/>
              </w:rPr>
              <w:t>商标、票据</w:t>
            </w:r>
            <w:r>
              <w:rPr>
                <w:rFonts w:hint="eastAsia" w:ascii="Times New Roman" w:hAnsi="Times New Roman" w:eastAsia="方正书宋_GBK" w:cs="方正书宋_GBK"/>
                <w:color w:val="000000"/>
                <w:kern w:val="0"/>
                <w:sz w:val="20"/>
                <w:szCs w:val="20"/>
                <w:lang w:bidi="ar"/>
              </w:rPr>
              <w:t>、保密印刷）印刷经营活动企业（不含外资企业）的设立、变更审批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并在网上公布审批程序、受理条件、办理标准，公开办理进度。2.精简审批材料，推动在线获取核验营业执照等材料。3.取消“经营包装装潢印刷品印刷业务的企业必须具备2台以上最近10年生产的胶印、凹印、柔印、丝印等及后序加工设备”的规定。4.将审批时限由60个工作日压减至40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1.开展“双随机、一公开”监管，发现违法违规行为的要依法查处并公开结果。2.依法及时处理投诉举报。3.推进部门间信息共享应用。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设立中外合资、合作印刷企业和外商独资包装装潢印刷企业的设立、变更审批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《印刷业管理条例》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4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10年生产的胶印、凹印、柔印、丝印等及后序加工设备”的规定。4.将审批时限由60个工作日压减至40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1.开展“双随机、一公开”监管，发现违法违规行为的要依法查处并公开结果。2.依法及时处理投诉举报。3.推进部门间信息共享应用。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367</w:t>
            </w:r>
          </w:p>
        </w:tc>
        <w:tc>
          <w:tcPr>
            <w:tcW w:w="1342" w:type="dxa"/>
            <w:tcMar>
              <w:top w:w="57" w:type="dxa"/>
              <w:left w:w="57" w:type="dxa"/>
              <w:bottom w:w="57" w:type="dxa"/>
              <w:right w:w="57" w:type="dxa"/>
            </w:tcMar>
            <w:vAlign w:val="center"/>
          </w:tcPr>
          <w:p>
            <w:pPr>
              <w:widowControl/>
              <w:spacing w:line="24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对新闻出版广电总局负责的出版单位设立、变更审批（初审）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《出版管理条例》《音像制品管理条例》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图书出版单位设立审核</w:t>
            </w:r>
          </w:p>
        </w:tc>
        <w:tc>
          <w:tcPr>
            <w:tcW w:w="765"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图书出版许可证</w:t>
            </w:r>
          </w:p>
        </w:tc>
        <w:tc>
          <w:tcPr>
            <w:tcW w:w="949"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新闻出版署审批、省级新闻出版部门审核</w:t>
            </w:r>
          </w:p>
        </w:tc>
        <w:tc>
          <w:tcPr>
            <w:tcW w:w="1320" w:type="dxa"/>
            <w:vMerge w:val="restart"/>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《出版管理条例》《图书出版管理规定》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restart"/>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snapToGrid w:val="0"/>
                <w:color w:val="000000"/>
                <w:spacing w:val="-6"/>
                <w:kern w:val="20"/>
                <w:sz w:val="20"/>
                <w:szCs w:val="20"/>
              </w:rPr>
            </w:pPr>
            <w:r>
              <w:rPr>
                <w:rFonts w:hint="eastAsia" w:ascii="Times New Roman" w:hAnsi="Times New Roman" w:eastAsia="方正书宋_GBK" w:cs="方正书宋_GBK"/>
                <w:snapToGrid w:val="0"/>
                <w:color w:val="000000"/>
                <w:spacing w:val="-6"/>
                <w:kern w:val="20"/>
                <w:sz w:val="20"/>
                <w:szCs w:val="20"/>
                <w:lang w:bidi="ar"/>
              </w:rPr>
              <w:t>在广西数字政务一体化平台对应的是“对新闻出版广电总局负责的出版单位设立、变更（含出版新的报纸、期刊、连续型电子出版物或报纸、期刊、连续型电子出版物变更名称）审批的初审”的子项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369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图书出版单位变更名称、主办单位或主管机关、业务范围、合并或分立审核</w:t>
            </w:r>
          </w:p>
        </w:tc>
        <w:tc>
          <w:tcPr>
            <w:tcW w:w="765"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949"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1320" w:type="dxa"/>
            <w:vMerge w:val="continue"/>
            <w:tcMar>
              <w:top w:w="57" w:type="dxa"/>
              <w:left w:w="57" w:type="dxa"/>
              <w:bottom w:w="57" w:type="dxa"/>
              <w:right w:w="57" w:type="dxa"/>
            </w:tcMar>
            <w:vAlign w:val="center"/>
          </w:tcPr>
          <w:p>
            <w:pPr>
              <w:spacing w:line="280" w:lineRule="exact"/>
              <w:jc w:val="left"/>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音像出版单位设立审核</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音像制品出版许可证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新闻出版署审批、省级新闻出版部门审核</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《音像制品管理条例》《音像制品出版管理规定》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音像出版单位变更名称、主办单位或主管机关、业务范围、兼并或合并、分立审核</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音像制品出版许可证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新闻出版署审批、省级新闻出版部门审核</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《音像制品管理条例》《音像制品出版管理规定》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restart"/>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snapToGrid w:val="0"/>
                <w:color w:val="000000"/>
                <w:spacing w:val="-6"/>
                <w:kern w:val="20"/>
                <w:sz w:val="20"/>
                <w:szCs w:val="20"/>
              </w:rPr>
            </w:pPr>
            <w:r>
              <w:rPr>
                <w:rFonts w:hint="eastAsia" w:ascii="Times New Roman" w:hAnsi="Times New Roman" w:eastAsia="方正书宋_GBK" w:cs="方正书宋_GBK"/>
                <w:snapToGrid w:val="0"/>
                <w:color w:val="000000"/>
                <w:spacing w:val="-6"/>
                <w:kern w:val="20"/>
                <w:sz w:val="20"/>
                <w:szCs w:val="20"/>
                <w:lang w:bidi="ar"/>
              </w:rPr>
              <w:t>在广西数字政务一体化平台对应的是“对新闻出版广电总局负责的出版单位设立、变更（含出版新的报纸、期刊、连续型电子出版物或报纸、期刊、连续型电子出版物变更名称）审批的初审”的子项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电子出版物出版单位设立审核</w:t>
            </w:r>
          </w:p>
        </w:tc>
        <w:tc>
          <w:tcPr>
            <w:tcW w:w="765"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电子出版物出版许可证</w:t>
            </w:r>
          </w:p>
        </w:tc>
        <w:tc>
          <w:tcPr>
            <w:tcW w:w="949"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新闻出版署审批、省级新闻出版部门审核</w:t>
            </w:r>
          </w:p>
        </w:tc>
        <w:tc>
          <w:tcPr>
            <w:tcW w:w="1320" w:type="dxa"/>
            <w:vMerge w:val="restart"/>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《出版管理条例》《音像制品管理条例》《电子出版物出版管理规定》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6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电子出版物出版单位变更名称、主办单位或主管机关、业务范围，合并或分立，新增或改变连续型电子出版物名称审核</w:t>
            </w:r>
          </w:p>
        </w:tc>
        <w:tc>
          <w:tcPr>
            <w:tcW w:w="765"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949"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1320" w:type="dxa"/>
            <w:vMerge w:val="continue"/>
            <w:tcMar>
              <w:top w:w="57" w:type="dxa"/>
              <w:left w:w="57" w:type="dxa"/>
              <w:bottom w:w="57" w:type="dxa"/>
              <w:right w:w="57" w:type="dxa"/>
            </w:tcMar>
            <w:vAlign w:val="center"/>
          </w:tcPr>
          <w:p>
            <w:pPr>
              <w:spacing w:line="280" w:lineRule="exact"/>
              <w:jc w:val="left"/>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网络出版服务许可的初审</w:t>
            </w:r>
          </w:p>
        </w:tc>
        <w:tc>
          <w:tcPr>
            <w:tcW w:w="765"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网络出版服务许可证</w:t>
            </w:r>
          </w:p>
        </w:tc>
        <w:tc>
          <w:tcPr>
            <w:tcW w:w="949"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新闻出版署审批、省级新闻出版部门审核</w:t>
            </w:r>
          </w:p>
        </w:tc>
        <w:tc>
          <w:tcPr>
            <w:tcW w:w="1320" w:type="dxa"/>
            <w:vMerge w:val="restart"/>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《网络出版服务管理规定》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restart"/>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snapToGrid w:val="0"/>
                <w:color w:val="000000"/>
                <w:spacing w:val="-6"/>
                <w:kern w:val="20"/>
                <w:sz w:val="20"/>
                <w:szCs w:val="20"/>
              </w:rPr>
            </w:pPr>
            <w:r>
              <w:rPr>
                <w:rFonts w:hint="eastAsia" w:ascii="Times New Roman" w:hAnsi="Times New Roman" w:eastAsia="方正书宋_GBK" w:cs="方正书宋_GBK"/>
                <w:snapToGrid w:val="0"/>
                <w:color w:val="000000"/>
                <w:spacing w:val="-6"/>
                <w:kern w:val="20"/>
                <w:sz w:val="20"/>
                <w:szCs w:val="20"/>
                <w:lang w:bidi="ar"/>
              </w:rPr>
              <w:t>在广西数字政务一体化平台对应的是“对新闻出版广电总局负责的出版单位设立、变更（含出版新的报纸、期刊、连续型电子出版物或报纸、期刊、连续型电子出版物变更名称）审批的初审”的子项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网络出版服务单位变更名称、主办者、合并或分立审核</w:t>
            </w:r>
          </w:p>
        </w:tc>
        <w:tc>
          <w:tcPr>
            <w:tcW w:w="765"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949"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1320" w:type="dxa"/>
            <w:vMerge w:val="continue"/>
            <w:tcMar>
              <w:top w:w="57" w:type="dxa"/>
              <w:left w:w="57" w:type="dxa"/>
              <w:bottom w:w="57" w:type="dxa"/>
              <w:right w:w="57" w:type="dxa"/>
            </w:tcMar>
            <w:vAlign w:val="center"/>
          </w:tcPr>
          <w:p>
            <w:pPr>
              <w:spacing w:line="280" w:lineRule="exact"/>
              <w:jc w:val="left"/>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1.不再要求申请人提供单位基本信息登记表。2.对涉及机构改革、文化企业公司制改制等内容的申请，开辟“绿色通道”，实行简易程序审批。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创办报纸出版单位审核</w:t>
            </w:r>
          </w:p>
        </w:tc>
        <w:tc>
          <w:tcPr>
            <w:tcW w:w="765"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报纸出版许可证</w:t>
            </w:r>
          </w:p>
        </w:tc>
        <w:tc>
          <w:tcPr>
            <w:tcW w:w="949" w:type="dxa"/>
            <w:vMerge w:val="restart"/>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新闻出版署审批、省级新闻出版部门审核</w:t>
            </w:r>
          </w:p>
        </w:tc>
        <w:tc>
          <w:tcPr>
            <w:tcW w:w="1320" w:type="dxa"/>
            <w:vMerge w:val="restart"/>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《出版管理条例》《报纸出版管理规定》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不再要求申请人提供单位基本信息登记表。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1.强化报纸样本数据监测、跟踪和评估，加大报纸质量检查力度。2.扩大纸质报纸审读及借助网络手段审读的覆盖面。</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报纸变更名称、主办单位、主管单位、业务范围审核</w:t>
            </w:r>
          </w:p>
        </w:tc>
        <w:tc>
          <w:tcPr>
            <w:tcW w:w="765"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949"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c>
          <w:tcPr>
            <w:tcW w:w="1320" w:type="dxa"/>
            <w:vMerge w:val="continue"/>
            <w:tcMar>
              <w:top w:w="57" w:type="dxa"/>
              <w:left w:w="57" w:type="dxa"/>
              <w:bottom w:w="57" w:type="dxa"/>
              <w:right w:w="57" w:type="dxa"/>
            </w:tcMar>
            <w:vAlign w:val="center"/>
          </w:tcPr>
          <w:p>
            <w:pPr>
              <w:spacing w:line="280" w:lineRule="exact"/>
              <w:jc w:val="left"/>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不再要求申请人提供单位基本信息登记表。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1.强化报纸样本数据监测、跟踪和评估，加大报纸质量检查力度。2.扩大纸质报纸审读及借助网络手段审读的覆盖面。</w:t>
            </w:r>
          </w:p>
        </w:tc>
        <w:tc>
          <w:tcPr>
            <w:tcW w:w="774" w:type="dxa"/>
            <w:vMerge w:val="continue"/>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期刊出版单位设立、变更、合并、分立、设立及分支机构审批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期刊出版许可证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1.不再要求申请人提供单位基本信息登记表。2.期刊出版单位申请变更名称的，不再要求申请人提供其与主办单位之间隶属关系或出资关系的证明材料。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1.开展“双随机、一公开”监管，强化期刊年检和审读，发现违法违规行为的要依法查处并公开结果。2.依法及时处理投诉举报。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379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出版单位变更资本结构审批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不再要求申请人提供单位基本信息登记表。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1.开展“双随机、一公开”监管，发现违法违规行为的要依法查处并公开结果。2.依法及时处理投诉举报，对被投诉举报单位实施重点监管。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专项出版业务范围变更审批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图书出版许可证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将审批时限由60个工作日压减至30个工作日。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1.开展“双随机、一公开”监管，强化出版内容质量监测和抽查，发现违法违规行为的要依法查处并公开结果。2.依法及时处理投诉举报，对被投诉举报和有质量问题的单位实施重点监管。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设立出版物进口经营单位审批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出版物进口经营许可证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不再要求申请人提供单位基本信息登记表。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出版物进口经营单位变更名称、业务范围、资本结构、主办单位或者其主管机关，合并或者分立，设立分支机构审批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出版物进口经营许可证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不再要求申请人提供单位基本信息登记表。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境外出版机构在境内设立办事机构审批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不再要求申请人提供单位基本信息登记表。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1.开展“双随机、一公开”监管，发现违法违规行为的要依法查处并公开结果。2.制定境外出版机构在中国境内设立办事机构相关管理办法。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音像复制单位设立、变更审批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复制经营许可证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9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电子出版物复制单位设立、变更审批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复制经营许可证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《音像制品管理条例》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出版物批发单位设立、变更审批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1.开展“双随机、一公开”监管，发现违法违规行为的要依法查处并公开结果。2.依法及时处理投诉举报。3.推进部门间信息共享应用。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出版物零售单位（个体工商户除外）设立、变更审批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县级新闻出版部门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1.开展“双随机、一公开”监管，发现违法违规行为的要依法查处并公开结果。2.依法及时处理投诉举报。3.推进部门间信息共享应用。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388</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对新闻出版广电总局负责的中学小学教科书出版资质审批（初审）</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不再要求申请人提供近5年内出版单位出版的与所申请出版资质相关的代表性出版物，改为审批部门向相关部门了解该单位代表性出版物情况。</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389</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中学小学教科书出版资质审批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图书出版许可证</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不再要求申请人提供近5年内出版单位出版的与所申请出版资质相关的代表性出版物，改为审批部门向相关部门了解该单位代表性出版物情况。</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1.开展“双随机、一公开”监管，强化出版内容质量监测和抽查，发现违法违规行为的要依法查处并公开结果。2.依法及时处理投诉举报，对被投诉举报单位实施重点监管。</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390</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中学小学教科书发行资质审批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出版物经营许可证</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新闻出版署</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《出版管理条例》</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不再要求申请人提供关于企业信息管理系统及自有物流配送体系情况的证明材料，改为要求申请单位提供加盖其公章的文字说明，并实地核查其是否具备相应准入条件。</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391</w:t>
            </w:r>
          </w:p>
        </w:tc>
        <w:tc>
          <w:tcPr>
            <w:tcW w:w="134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新闻单位设立驻地方机构审批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新闻单位驻地方机构许可证</w:t>
            </w:r>
          </w:p>
        </w:tc>
        <w:tc>
          <w:tcPr>
            <w:tcW w:w="949"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省级新闻出版部门</w:t>
            </w:r>
          </w:p>
        </w:tc>
        <w:tc>
          <w:tcPr>
            <w:tcW w:w="1320" w:type="dxa"/>
            <w:tcMar>
              <w:top w:w="57" w:type="dxa"/>
              <w:left w:w="57" w:type="dxa"/>
              <w:bottom w:w="57" w:type="dxa"/>
              <w:right w:w="57" w:type="dxa"/>
            </w:tcMar>
            <w:vAlign w:val="center"/>
          </w:tcPr>
          <w:p>
            <w:pPr>
              <w:widowControl/>
              <w:spacing w:line="27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7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7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1.实现申请、审批全程网上办理。2.将审批时限由20个工作日压减至18个工作日。</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1.向社会公开新闻单位驻地方机构许可、监管、处罚等信息，加强社会监督。2.开展“双随机、一公开”监管，实行年度核验和综合评估，发现违法违规行为的要依法查处并公开结果。</w:t>
            </w:r>
          </w:p>
        </w:tc>
        <w:tc>
          <w:tcPr>
            <w:tcW w:w="774" w:type="dxa"/>
            <w:tcMar>
              <w:top w:w="57" w:type="dxa"/>
              <w:left w:w="57" w:type="dxa"/>
              <w:bottom w:w="57" w:type="dxa"/>
              <w:right w:w="57" w:type="dxa"/>
            </w:tcMar>
            <w:vAlign w:val="center"/>
          </w:tcPr>
          <w:p>
            <w:pPr>
              <w:spacing w:line="27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互联网新闻信息服务许可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互联网新闻信息服务许可证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国家网信办；省级网信部门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《国务院对确需保留的行政审批项目设定行政许可的决定》《互联网信息服务管理办法》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日常检查和定期检查相结合的监管制度，依法对互联网新闻信息服务活动实施监督检查。2.畅通投诉举报渠道，依法及时处理投诉举报。3.建立互联网新闻信息服务网络信用档案，健全失信黑名单制度。4.加强部门间信息共享和协作配合，依法开展联合执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6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外国机构在中国境内提供金融信息服务业务审批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外国机构在中国境内提供金融信息许可证、外国机构在中国境内投资设立企业提供金融信息服务许可证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国家网信办</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1.及时掌握用户情况，定期对备案用户的信息进行核查。2.强化境外金融信息服务终端同步审视，发现问题及时依法处理。3.畅通投诉举报渠道，依法及时处理投诉举报。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升放无人驾驶自由气球、系留气球单位资质认定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升放气球资质证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省、设区的市级气象主管机构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1.不再要求申请人提供法人证书或营业执照原件。2.实现申请、审批全程网上办理并在网上公布审批程序、受理条件、办理标准。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双随机、一公开”监管、跨部门联合监管等方式，对升放无人驾驶自由气球、系留气球活动实施严格监管，发现违法违规行为的要依法查处并公开结果。2.加强对升放气球行为的法律法规和科普宣传，提高升放单位和社会公众的安全意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电力、通信防雷装置检测单位资质认定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雷电防护装置检测资质证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中国气象局会同国务院有关部门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《国务院对确需保留的行政审批项目设定行政许可的决定》《气象灾害防御条例》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1.实现申请、审批全程网上办理。2.不再要求申请人提供营业执照原件和经营场所产权证明原件等材料。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1.开展“双随机、一公开”监管，发现违法违规行为的要依法查处并公开结果。2.加强信用监管，对失信主体开展联合惩戒。3.依法及时处理投诉举报。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除电力、通信以外的雷电防护装置检测单位资质认定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雷电防护装置检测资质证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省级气象主管机构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《国务院对确需保留的行政审批项目设定行政许可的决定》《气象灾害防御条例》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1.实现申请、审批全程网上办理。2.不再要求申请人提供营业执照原件和经营场所产权证明原件等材料。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1.开展“双随机、一公开”监管，发现违法违规行为的要依法查处并公开结果。2.加强信用监管，对失信主体开展联合惩戒。3.依法及时处理投诉举报。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中资银行业金融机构及其分支机构设立、变更、终止以及业务范围审批</w:t>
            </w:r>
          </w:p>
        </w:tc>
        <w:tc>
          <w:tcPr>
            <w:tcW w:w="765"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1.机构</w:t>
            </w:r>
            <w:r>
              <w:rPr>
                <w:rFonts w:hint="eastAsia" w:ascii="Times New Roman" w:hAnsi="Times New Roman" w:eastAsia="方正书宋_GBK" w:cs="方正书宋_GBK"/>
                <w:color w:val="000000"/>
                <w:spacing w:val="-11"/>
                <w:kern w:val="0"/>
                <w:sz w:val="20"/>
                <w:szCs w:val="20"/>
                <w:lang w:bidi="ar"/>
              </w:rPr>
              <w:t>设立类：</w:t>
            </w:r>
            <w:r>
              <w:rPr>
                <w:rFonts w:hint="eastAsia" w:ascii="Times New Roman" w:hAnsi="Times New Roman" w:eastAsia="方正书宋_GBK" w:cs="方正书宋_GBK"/>
                <w:color w:val="000000"/>
                <w:kern w:val="0"/>
                <w:sz w:val="20"/>
                <w:szCs w:val="20"/>
                <w:lang w:bidi="ar"/>
              </w:rPr>
              <w:t>金融许可证</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2.变更名称、住所：金融许可（换发）</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3.其他：批准文件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华人民共和国商业银行法》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不再要求申请人提供营业执照复印件、银保监会出具的金融许可证复印件等材料。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1.通过现场检查、非现场监管等方式，密切关注风险，发现违法违规行为的要依法查处。2.加强信用监管，对失信主体开展联合惩戒。3.针对重点领域风险，健全有关制度，建立风险防范长效机制。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中资商业银行法人机构董事和高级管理人员任职资格核准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华人民共和国商业银行法》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不再要求申请人提供拟任人个人及其主要家庭成员的征信报告等材料，改为申请人作出有关承诺。</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持续对有关人员履职情况进行监管，加大对违法违规经营活动有关人员的处罚力度。2.加强信用监管，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4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399</w:t>
            </w:r>
          </w:p>
        </w:tc>
        <w:tc>
          <w:tcPr>
            <w:tcW w:w="1342" w:type="dxa"/>
            <w:tcMar>
              <w:top w:w="57" w:type="dxa"/>
              <w:left w:w="57" w:type="dxa"/>
              <w:bottom w:w="57" w:type="dxa"/>
              <w:right w:w="57" w:type="dxa"/>
            </w:tcMar>
            <w:vAlign w:val="center"/>
          </w:tcPr>
          <w:p>
            <w:pPr>
              <w:widowControl/>
              <w:spacing w:line="252"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商业银行、政策性银行、金融资产管理公司对外从事股权投资及商业银行综合化经营审批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不再要求申请人提供被投资方股东（大）会同意吸收商业银行投资的决议等材料。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1.通过现场检查、非现场监管等方式，密切关注风险，发现违法违规行为的要依法查处。2.加强信用监管，对失信主体开展联合惩戒。3.针对重点领域风险，健全有关制度，建立风险防范长效机制。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外资银行营业性机构及其分支机构设立、变更及终止审批</w:t>
            </w:r>
          </w:p>
        </w:tc>
        <w:tc>
          <w:tcPr>
            <w:tcW w:w="76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1.机构</w:t>
            </w:r>
            <w:r>
              <w:rPr>
                <w:rFonts w:hint="eastAsia" w:ascii="Times New Roman" w:hAnsi="Times New Roman" w:eastAsia="方正书宋_GBK" w:cs="方正书宋_GBK"/>
                <w:color w:val="000000"/>
                <w:spacing w:val="-11"/>
                <w:kern w:val="0"/>
                <w:sz w:val="20"/>
                <w:szCs w:val="20"/>
                <w:lang w:bidi="ar"/>
              </w:rPr>
              <w:t>设立类：</w:t>
            </w:r>
            <w:r>
              <w:rPr>
                <w:rFonts w:hint="eastAsia" w:ascii="Times New Roman" w:hAnsi="Times New Roman" w:eastAsia="方正书宋_GBK" w:cs="方正书宋_GBK"/>
                <w:color w:val="000000"/>
                <w:kern w:val="0"/>
                <w:sz w:val="20"/>
                <w:szCs w:val="20"/>
                <w:lang w:bidi="ar"/>
              </w:rPr>
              <w:t>金融许可证</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2.变更名称、住所：金融许可（换发）</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3.其他：批准文件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华人民共和国外资银行管理条例》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对于申请筹建外商独资银行分行、中外合资银行分行的，不再要求申请人提供营业执照复印件等材料。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1.加强信息共享，通过有关信息平台获取有关信息。2.通过现场检查、非现场监管等方式，密切关注风险，发现违法违规行为的要依法查处。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3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外资银行调整业务范围和增加业务品种审批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华人民共和国外资银行管理条例》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对于申请开展人民币业务的，不再要求申请人提供可行性研究报告等材料。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1.督促外资银行在开展有关业务前做好制度、信息系统、人员等方面筹备工作。2.通过现场检查、非现场监管等方式，密切关注风险，发现违法违规行为的要依法查处。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0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外资银行董事、高级管理人员、首席代表任职资格核准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华人民共和国外资银行管理条例》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将非银保监会直接监管的外资法人银行董事长、行长任职资格核准由银保监会下放至拟任职机构所在地银保监局。</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1.加强系统内监管培训，确保全国监管标准一致。2.通过监管约谈、走访督察等方式，督促有关人员依法履职。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09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非银行金融机构（分支机构）设立、变更、终止以及业务范围审批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1.机构</w:t>
            </w:r>
            <w:r>
              <w:rPr>
                <w:rFonts w:hint="eastAsia" w:ascii="Times New Roman" w:hAnsi="Times New Roman" w:eastAsia="方正书宋_GBK" w:cs="方正书宋_GBK"/>
                <w:color w:val="000000"/>
                <w:spacing w:val="-11"/>
                <w:kern w:val="0"/>
                <w:sz w:val="20"/>
                <w:szCs w:val="20"/>
                <w:lang w:bidi="ar"/>
              </w:rPr>
              <w:t>设立类：</w:t>
            </w:r>
            <w:r>
              <w:rPr>
                <w:rFonts w:hint="eastAsia" w:ascii="Times New Roman" w:hAnsi="Times New Roman" w:eastAsia="方正书宋_GBK" w:cs="方正书宋_GBK"/>
                <w:color w:val="000000"/>
                <w:kern w:val="0"/>
                <w:sz w:val="20"/>
                <w:szCs w:val="20"/>
                <w:lang w:bidi="ar"/>
              </w:rPr>
              <w:t>金融许可证</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2.变更名称、住所：金融许可（换发）</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3.其他：批准文件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华人民共和国商业银行法》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不再要求申请人提供营业执照复印件、银保监会出具的金融许可证复印件等材料。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1.通过现场检查、非现场监管等方式，密切关注风险，发现违法违规行为的要依法查处。2.加强信用监管，对失信主体开展联合惩戒。3.针对重点领域风险，健全有关制度，建立风险防范长效机制。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5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非银行金融机构董事和高级管理人员任职资格核准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《中华人民共和国银行业监</w:t>
            </w:r>
            <w:r>
              <w:rPr>
                <w:rFonts w:hint="eastAsia" w:ascii="Times New Roman" w:hAnsi="Times New Roman" w:eastAsia="方正书宋_GBK" w:cs="方正书宋_GBK"/>
                <w:color w:val="000000"/>
                <w:spacing w:val="-4"/>
                <w:kern w:val="0"/>
                <w:sz w:val="20"/>
                <w:szCs w:val="20"/>
                <w:lang w:bidi="ar"/>
              </w:rPr>
              <w:t>督管理法》《中</w:t>
            </w:r>
            <w:r>
              <w:rPr>
                <w:rFonts w:hint="eastAsia" w:ascii="Times New Roman" w:hAnsi="Times New Roman" w:eastAsia="方正书宋_GBK" w:cs="方正书宋_GBK"/>
                <w:color w:val="000000"/>
                <w:kern w:val="0"/>
                <w:sz w:val="20"/>
                <w:szCs w:val="20"/>
                <w:lang w:bidi="ar"/>
              </w:rPr>
              <w:t>华人民共和国商业银行法》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不再要求申请人提供拟任人个人征信报告等材料，改为申请人作出有关承诺。</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持续对有关人员履职情况进行监管，加大对违法违规经营活动有关人员的处罚力度。2.加强信用监管，根据违法违规情形和失信程度，对有关人员采取行业通报、社会公示、市场禁入等方式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03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保险公司及其分支机构设立审批</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1.保险公司设立：保险公司法人许可证</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2.分支机构设立：经营保险业务许可证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1.不再要求申请人在开业验收报告中提供保险机构和高级管理人员管理信息系统客户端程序生成的电子化数据文件等材料。2.将政策性保险公司分支机构开业审批权限由银保监会下放至所在地银保监局。</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1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保险公司重大事项变更审批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1.变更名称、公司分立或合并、修改公司章程：保险公司法人许可证</w:t>
            </w:r>
            <w:r>
              <w:rPr>
                <w:rFonts w:hint="eastAsia" w:ascii="Times New Roman" w:hAnsi="Times New Roman" w:eastAsia="方正书宋_GBK" w:cs="方正书宋_GBK"/>
                <w:color w:val="000000"/>
                <w:spacing w:val="-11"/>
                <w:kern w:val="0"/>
                <w:sz w:val="20"/>
                <w:szCs w:val="20"/>
                <w:lang w:bidi="ar"/>
              </w:rPr>
              <w:t>（换发）</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2.分支机构变更营业</w:t>
            </w:r>
            <w:r>
              <w:rPr>
                <w:rFonts w:hint="eastAsia" w:ascii="Times New Roman" w:hAnsi="Times New Roman" w:eastAsia="方正书宋_GBK" w:cs="方正书宋_GBK"/>
                <w:color w:val="000000"/>
                <w:spacing w:val="-11"/>
                <w:kern w:val="0"/>
                <w:sz w:val="20"/>
                <w:szCs w:val="20"/>
                <w:lang w:bidi="ar"/>
              </w:rPr>
              <w:t>场所：经</w:t>
            </w:r>
            <w:r>
              <w:rPr>
                <w:rFonts w:hint="eastAsia" w:ascii="Times New Roman" w:hAnsi="Times New Roman" w:eastAsia="方正书宋_GBK" w:cs="方正书宋_GBK"/>
                <w:color w:val="000000"/>
                <w:kern w:val="0"/>
                <w:sz w:val="20"/>
                <w:szCs w:val="20"/>
                <w:lang w:bidi="ar"/>
              </w:rPr>
              <w:t>营保险业务许可</w:t>
            </w:r>
            <w:r>
              <w:rPr>
                <w:rFonts w:hint="eastAsia" w:ascii="Times New Roman" w:hAnsi="Times New Roman" w:eastAsia="方正书宋_GBK" w:cs="方正书宋_GBK"/>
                <w:color w:val="000000"/>
                <w:spacing w:val="-11"/>
                <w:kern w:val="0"/>
                <w:sz w:val="20"/>
                <w:szCs w:val="20"/>
                <w:lang w:bidi="ar"/>
              </w:rPr>
              <w:t>（换发）</w:t>
            </w:r>
            <w:r>
              <w:rPr>
                <w:rFonts w:hint="eastAsia" w:ascii="Times New Roman" w:hAnsi="Times New Roman" w:eastAsia="方正书宋_GBK" w:cs="方正书宋_GBK"/>
                <w:color w:val="000000"/>
                <w:kern w:val="0"/>
                <w:sz w:val="20"/>
                <w:szCs w:val="20"/>
                <w:lang w:bidi="ar"/>
              </w:rPr>
              <w:br w:type="textWrapping"/>
            </w:r>
            <w:r>
              <w:rPr>
                <w:rFonts w:hint="eastAsia" w:ascii="Times New Roman" w:hAnsi="Times New Roman" w:eastAsia="方正书宋_GBK" w:cs="方正书宋_GBK"/>
                <w:color w:val="000000"/>
                <w:kern w:val="0"/>
                <w:sz w:val="20"/>
                <w:szCs w:val="20"/>
                <w:lang w:bidi="ar"/>
              </w:rPr>
              <w:t>3.其他：批准文件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保险公司因变更注册资本等前置审批事项申请修改公司章程的，无需审批，改为报告制。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保险公司的董事、监事和高级管理人员任职资格审批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1.除政策性保险公司外，不再要求申请人提供拟任人综合鉴定等材料。2.对曾经取得保险公司董事、监事和高级管理人员任职资格的人员，再次申请同类性质任职资格的，不再进行任职资格考试。</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持续对有关人员履职情况进行监管，加大对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保险资产管理公司及其分支机构设立和终止审批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法人机构设立类：保险资产管理公司法人许可证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不再要求申请人在筹建申请材料中提供筹建负责人的任职资格申请书、身份证明、学历和学位证书复印件等材料。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409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保险资产管理公司重大事项变更审批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1.不再要求申请人在变更营业场所申请材料中提供新营业场所符合办公条件的情况报告等材料。2.不再要求申请人在变更业务范围申请材料中提供业务范围变更后的可行性报告等材料。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1.通过现场检查、非现场监管等方式，密切关注风险，发现违法违规行为的要依法查处。2.针对重点领域风险，健全有关制度，建立风险防范长效机制。3.压实机构主体责任，强化行业自律管理。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保险资产管理公司高级管理人员资格核准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不再要求申请人提供对拟任人的综合鉴定等材料。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持续对有关人员履职情况进行监管，加大对从事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保险集团公司设立、合并、分立、变更、解散审批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保险公司法人许可证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保险集团公司因变更注册资本等前置审批事项申请修改公司章程的，无需审批，改为报告制。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1.通过现场检查、非现场监管等方式，密切关注风险，发现违法违规行为的要依法查处。2.针对重点领域风险，健全有关制度，建立风险防范长效机制。3.加强与有关部门的信息共享，定期组织交流会议。</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保险集团公司高级管理人员资格核准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不再要求申请人提供对拟任人的综合鉴定等材料。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履职评价制度，在日常监管中加强对有关人员的监管和跟踪评价，加大对从事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保险控股公司设立、合并、分立、变更、解散审批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保险公司法人许可证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保险控股公司因变更注册资本等前置审批事项申请修改公司章程的，无需审批，改为报告制。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1.通过现场检查、非现场监管等方式，密切关注风险，发现违法违规行为的要依法查处。2.针对重点领域风险，健全有关制度，建立风险防范长效机制。3.加强部门间信息共享，定期组织交流会议。</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保险控股公司高级管理人员资格核准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不再要求申请人提供对拟任人的综合鉴定等材料。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专属自保组织和相互保险组织设立、合并、分立、变更、解散审批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保险公司法人许可证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专属自保组织和相互保险组织因变更注册资本等前置审批事项申请修改公司章程的，无需审批，改为报告制。</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专属自保、相互保险等组织高级管理人员资格核准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不再要求申请人提供对拟任人的综合鉴定材料。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保险代理机构设立审批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经营保险代理业务许可证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1.通过现场检查、非现场监管等方式，密切关注风险，发现违法违规行为的要依法查处。2.加强信用监管，对失信主体开展联合惩戒。3.针对重点领域风险，健全有关制度，建立风险防范长效机制。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保险代理机构高级管理人员任职资格核准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不再要求申请人提供对拟任人的综合鉴定等材料。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419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保险经纪机构设立审批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经营保险经纪业务许可证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1.通过现场检查、非现场监管等方式，密切关注风险，发现违法违规行为的要依法查处。2.加强信用监管，对失信主体开展联合惩戒。3.针对重点领域风险，健全有关制度，建立风险防范长效机制。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保险经纪机构高级管理人员任职资格核准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不再要求申请人提供对拟任人的综合鉴定等材料。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完善履职评价制度，在日常监管中加强对有关人员的监管和跟踪评价，加大对违法违规经营活动有关人员的处罚力度。2.根据违法违规情形和失信程度，对有关人员通过行业通报、社会公示、市场禁入等方式进行处理，督促有关人员依法履职。</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关系社会公众利益的保险险种、依法实行强制保险的险种和新开发的人寿保险险种等的保险条款和保险费率审批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《中华人民共和国保险法》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对于使用中国保险行业协会车险示范条款的保险产品，不再要求申请人报送保险条款等材料。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1.通过现场检查、非现场监管等方式，密切关注风险，发现违法违规行为的要依法查处。2.针对重点领域风险，健全有关制度，建立风险防范长效机制。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保险公司拓宽保险资金运用形式审批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银保监会及其派出机构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不再要求申请人在保险公司境外投资申请材料中提供偿付能力报告等材料。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1.加强对资产负债管理的监管和动态监测。2.通过现场检查、非现场监管等方式，密切关注风险，发现违法违规行为的要依法查处。3.强化保险公司拓宽保险资金运用形式分类监管。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融资担保公司的设立与变更审批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融资担保业务经营许可证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省级人民政府确定的部门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《国务院对确需保留的行政审批项目设定行政许可的决定》《融资担保公司监督管理条例》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1.运用大数据等技术手段实时监测风险，加强现场检查和非现场监管。2.建立与有关部门的监管协调机制和信息共享机制。</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设立典当行及分支机构审批（设立、变更、注销）</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典当经营许可证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省级人民政府金融监管部门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将典当经营许可证的有效期限由6年延长至10年。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1.通过年审、现场检查、非现场监管等方式，加强事中事后监管，发现违法违规行为的要依法查处。2.进一步完善监管指标体系，建立分级、分类监管制度，强化市场约束，提高监管透明度。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证券公司设立审批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《中华人民共和国证券法》《证券公司监督管理条例》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1.推动实现申请、审批全程网上办理。2.网上公布服务指南，公开受理进度、反馈意见、审批结果等情况。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证券公司变更业务范围、增加注册资本且股权结构发生重大调整、减少注册资本、变更持有5%以上股权的股东、实际控制人、变更公司章程重要条款及合并、分立审批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《中华人民共和国证券法》《证券公司监督管理条例》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1.不再要求申请人提供法律意见书等材料。2.将证券业务许可证、基金业务许可证统一为经营证券期货业务许可证。3.在网上公开服务指南、受理进度、审批结果等。4.推动实现申请、审批全程网上办理。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5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基金托管人资格核准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《中华人民共和国证券投资基金法》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审批流程由申请人筹备、通过现场检查再批准，改为先批准、申请人筹备并通过现场检查再开展业务。2.不再要求申请人在批复阶段提供执业人员基本情况、安全保管基金财产有关条件报告、基金清算和交割系统运行测试报告、办公场所平面图、安全监控系统安装调试情况报告、基金托管业务备份系统设计方案和应急处理方案、应急处理能力测试报告、法律意见书等材料。3.将证券业务许可证、基金业务许可证统一为经营证券期货业务许可证。4.在网上公开服务指南、受理进度、审批结果等。5.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29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公募基金管理公司设立、公募基金管理人资格审批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《中华人民共和国证券投资基金法》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公募基金管理人资格审批流程由申请人筹备、通过现场检查再批准，改为先批准、申请人筹备并通过现场检查再开展业务。2.不再要求申请人在公募基金管理人资格审批批复阶段提供风险控制指标监管报表、证监局出具的现场检查报告、行业监管（自律管理）部门出具的意见、法律意见书等材料。3.将证券业务许可证、基金业务许可证统一为经营证券期货业务许可证。4.在网上公开服务指南、受理进度、审批结果等。5.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429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公募基金管理公司变更重大事项审批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《中华人民共和国证券投资基金法》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在批复阶段提供具有境外投资管理相关经验人员的教育经历、工作经验、从业资格、专业职称等基本情况介绍和法律意见书等材料。2.将证券业务许可证、基金业务许可证统一为经营证券期货业务许可证。3.在网上公开服务指南、受理进度、审批结果等。4.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基金服务机构注册</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《中华人民共和国证券投资基金法》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1.不再要求申请人提供法律意见书等材料。2.将证券业务许可证、基金业务许可证统一为经营证券期货业务许可证。3.在网上公开服务指南、受理进度、审批结果等。4.推动实现申请、审批全程网上办理。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申请设立期货交易场所的审批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《期货交易管理条例》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1.推动实现申请、审批全程网上办理。2.每半年1次公布存量情况。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1.要求期货交易场所建立健全相关制度，加强对交易结算活动的风险控制，加大对会员、工作人员的监管力度。2.加强现场检查。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5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申请设立期货专门结算机构的审批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《期货交易管理条例》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1.推动实现申请、审批全程网上办理。2.每半年1次公布存量情况。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1.要求期货专门结算机构建立健全相关制度，加强对结算相关活动的风险控制和工作人员的监督管理。2.根据市场情况及重点工作安排，加强现场检查。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spacing w:val="-6"/>
                <w:kern w:val="0"/>
                <w:sz w:val="20"/>
                <w:szCs w:val="20"/>
                <w:lang w:bidi="ar"/>
              </w:rPr>
              <w:t>期货公司设立、</w:t>
            </w:r>
            <w:r>
              <w:rPr>
                <w:rFonts w:hint="eastAsia" w:ascii="Times New Roman" w:hAnsi="Times New Roman" w:eastAsia="方正书宋_GBK" w:cs="方正书宋_GBK"/>
                <w:color w:val="000000"/>
                <w:kern w:val="0"/>
                <w:sz w:val="20"/>
                <w:szCs w:val="20"/>
                <w:lang w:bidi="ar"/>
              </w:rPr>
              <w:t>合并、分立、停业、解散或者破产，变更业务范围、注册资本、5%以上股权以及设立、收购、参股或者终止境外期货类经营机构的审批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《期货交易管理条例》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1.推动实现申请、审批全程网上办理。2.在网上公开服务指南、受理进度、审批结果等。3.不再要求申请人提供可通过部门间信息共享获取的企业登记注册等相关材料。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1.开展“双随机、一公开”监管。2.强化对关联交易的日常监管，发现违法违规行为的要依法查处。3.强化对公司治理的监管，督促期货公司股东按期报送股权变动等信息。</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期货公司境内及境外期货经纪业务、期货投资咨询业务许可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《期货交易管理条例》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1.推动实现申请、审批全程网上办理。2.在网上公开服务指南、受理进度、审批结果等。3.不再要求申请人提供可通过部门间信息共享获取的企业登记注册等相关材料。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1.开展“双随机、一公开”监管。2.加强日常监管，发现违法违规行为的要依法查处。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资信评级机构从事证券服务业审批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批准文件、中华人民共和国证券市场资信评级业务许可证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1.推动实现申请、审批全程网上办理。2.网上公开服务指南、受理进度、审批结果等。3.不再要求申请人提供法律意见书等材料。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1.健全相关机构执业规则和自律规则。2.落实辖区监管责任，强化一线监管和自律管理职能，加强行政监管、自律管理、稽查执法和刑事追责的衔接配合。</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财务顾问机构从事证券服务业审批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1.推动实现申请、审批全程网上办理。2.网上公布服务指南，公开受理进度、反馈意见、审批结果等情况。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加强非现场检查和现场监管，及时处理投诉举报，发现违法违规行为的要依法查处并公开结果。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52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投资咨询机构从事证券服务业审批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1.推动实现申请、审批全程网上办理。2.网上公布服务指南，公开受理进度、反馈意见、审批结果等情况。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1.强化股权变更管理。2.加强对分支机构的合规管控。3.加大对违法违规行为的查处力度。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境外机构投资者资格审批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《中华人民共和国证券投资基金法》《国务院对确需保留的行政审批项目设定行政许可的决定》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1.取消资产管理规模等准入条件。2.不再要求申请人提供投资计划书、审计报告等材料。3.在网上公开服务指南、受理进度、审批结果等。4.推动实现申请、审批全程网上办理。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1.建立信息共享和监管协作机制，及时发现和处置跨市场异常交易行为。2.强化穿透式监管要求。3.细化合格投资者和托管人的违规情形，明确监管职责和处罚措施，加大查处力度。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439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证券交易所的设立和解散审核、证券登记结算机构设立和解散审批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《中华人民共和国证券法》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1.推动实现申请、审批全程网上办理。2.每半年1次公布存量企业情况。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加强非现场检查和现场监管，及时处理投诉举报，发现违法违规行为的要依法查处并公开结果。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证券金融公司设立和解散审批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《证券公司监督管理条例》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1.推动实现申请、审批全程网上办理。2.每半年1次公布存量企业情况。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加强非现场检查和现场监管，及时处理投诉举报，发现违法违规行为的要依法查处并公开结果。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境外证券经营机构在境内经营证券业务审批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批准文件、中华人民共和国经营证券期货业务许可证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证监会及其派出机构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《国务院对确需保留的行政审批项目设定行政许可的决定》《证券公司监督管理条例》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1.推动实现申请、审批全程网上办理。2.网上公布服务指南，公开受理进度、反馈意见、审批结果等情况。</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风险程度、信用水平等，合理确定抽查比例，发现违法违规行为的要依法查处并公开结果。2.加强非现场监测和检查，针对普遍性问题和突出风险开展专项检查，及时处理投诉举报。3.加强信用监管，及时更新企业诚信档案，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9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中央储备粮代储资格认定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中央储备粮代储企业资格认定书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国家粮食和物资储备局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《中央储备粮管理条例》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1.实现申请、审批全程网上办理。2.不再要求申请人提供营业执照扫描件等材料。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1.通过“双随机、一公开”监管、重点监管等方式，依法查处违法行为。2.加强信用监管，向社会公布企业信用状况，对失信主体开展联合惩戒。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军粮供应站资格、军粮供应委托代理资格认定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军粮供应站资格证书、军粮供应点资格证书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省级粮食和储备部门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1.不再要求申请人提供事业单位设立批准文件复印件、省级粮食行政管理部门认为需要提交的其他材料。2.将实地核查办理时限由15个工作日压减至10个工作日。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通过“双随机、一公开”监管、重点监管等方式，对制度落实、计划管理、军粮质量、核算手续、经费往来等加强监管。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2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粮食收购资格认定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粮食收购许可证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企业办理登记注册的市场监管部门同级的粮食和储备部门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《粮食流通管理条例》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1.网上公布审批程序、受理条件、办理标准，公开办理进度。2.不再要求申请人提供营业执照、法定代表人身份证明等材料，通过部门间信息共享获取相关信息。</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1.通过“双随机、一公开”监管、重点监管等方式，依法查处违法违规企业。2.加强信用监管，向社会公布企业信用状况，对失信主体开展联合惩戒。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电力业务许可证核发（发电类、输电类、供电类）</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电力业务许可证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国家能源局派出能源监管机构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《中华人民共和国电力法》《电力供应与使用条例》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和办理标准，公开办理进度。2.不再要求申请人提供营业执照等材料，通过部门间信息共享获取相关信息。3.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1.开展“双随机、一公开”监管，依法查处违规行为。2.推进部门间信息共享应用，加强信用监管，健全信用告知预警机制，对失信主体开展联合惩戒。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承装（修、试）电力设施许可证核发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承装（修、试）电力设施许可证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国家能源局派出能源监管机构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《中华人民共和国电力法》《电力供应与使用条例》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和办理标准，公开办理进度。2.不再要求申请人提供营业执照等材料，通过部门间信息共享获取相关信息。3.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1.开展“双随机、一公开”监管，依法查处违规行为。2.推进部门间信息共享应用，加强信用监管，健全信用告知预警机制，对失信主体开展联合惩戒。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核材料许可证核发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中华人民共和国核材料许可证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《中华人民共和国核材料管制条例》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核材料账目与衡算管理实施计划、核材料实物保护与保密实施计划、核材料衡算与控制规程、反应堆燃耗分析计算程序及精度说明、反应堆热功率和功率分布监测方法及其精度说明、核材料实物保护系统的测试和维护说明、核材料相关的保密管理措施、实物保护系统有效性评估等材料。2.技术审评与现场检查实行并联办理，将审批时限压减15天。</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加强对持证单位的监测，针对发现的普遍性问题和突出风险开展专项检查，确保不发生系统性、区域性风险。3.取换证现场检查期间，对核材料衡算、核材料实物保护与保密工作等相关支持性文件进行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1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武器装备科研生产第二类许可（初审）</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省级国防科技工业部门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《武器装备科研生产许可管理条例》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1.网上公布受理条件、审批程序、办理标准，提供电话查询办理进度渠道。2.将许可目录项目由755项压减至285项，压减项目数量62%以上，对不再审批的项目实行备案管理。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跨部门联合监管等，发现问题及时依法处理。2.依法及时处理投诉举报。3.强化信用约束，对弄虚作假、提供假冒伪劣产品等严重失信的企事业单位，将其列入失信黑名单并通报。4.强化属地管理，地方国防科技工业部门对本行政区域内从事生产活动的单位加强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449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《武器装备科研生产许可管理条例》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1.网上公布受理条件、审批程序、办理标准，提供电话查询办理进度渠道。2.将许可目录项目由755项压减至285项，压减项目数量62%以上，对不再审批的项目实行备案管理。</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跨部门联合监管等，发现问题及时依法处理。2.强化属地管理，地方国防科技工业部门对本行政区域内从事生产活动的单位加强监管。3.依法及时处理投诉举报。4.强化信用约束，对弄虚作假、提供假冒伪劣产品等严重失信的单位，将其列入失信黑名单并通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一级、二级国防计量技术机构设置审批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《国防计量监督管理条例》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1.网上公布受理条件、审批程序、办理标准，提供电话查询办理进度渠道。2.取消信息报送、量值比对、学术交流、计量仲裁等18项审查标准。3.将审批时限由35个工作日压减至25个工作日。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三级国防计量技术机构设置审批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省级国防科技工业部门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《国防计量监督管理条例》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1.网上公布受理条件、审批程序、办理标准，提供电话查询办理进度渠道。2.取消信息报送、量值比对、学术交流、计量仲裁等18项审查标准。3.将审批时限由35个工作日压减至25个工作日。</w:t>
            </w:r>
          </w:p>
        </w:tc>
        <w:tc>
          <w:tcPr>
            <w:tcW w:w="301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及时修订相关管理规定，进一步规范技术机构履职行为，明确监管措施要求。2.开展“双随机、一公开”监管，根据专业能力、履职表现，合理确定抽查比例和检查内容。3.加强对军工计量领域的监测，补充完善短板弱项，确保技术机构能力满足科研生产需要。4.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军品出口许可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《中华人民共和国军品出口管理条例》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网上公布受理条件、审批程序、办理标准，提供电话查询办理进度渠道。</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1.通过“双随机、一公开”监管、跨部门联合监管等方式，依法查处违法行为。2.加强信用监管，对失信主体开展联合惩戒。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设立烟叶收购站（点）审批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烟草专卖烟叶收购证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设区的市级烟草部门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将审批时限由16个工作日压减至8个工作日。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1.开展“双随机、一公开”监管，发现违法违规行为的要依法查处并公开结果。2.根据投诉举报开展重点检查。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烟草制品生产企业的设立、分立、合并、撤销的审批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国家烟草专卖局关于准予设立（分立、合并、撤销）××烟草制品生产企业的决定</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将审批时限由16个工作日压减至8个工作日。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1.开展“双随机、一公开”监管，发现违法违规行为的要依法查处并公开结果。2.根据投诉举报开展重点检查。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3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烟草专卖生产企业许可证核发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烟草专卖生产企业许可证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将审批时限由15个工作日压减至8个工作日。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1.开展“双随机、一公开”监管，加强对持证主体合规生产经营的监管，发现违法违规行为的要依法查处并公开结果。2.取缔无证生产经营主体。</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44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外商投资设立烟草专卖生产企业审批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国家烟草专卖局关于准予设立××外商投资烟草专卖生产企业行政许可决定</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将审批时限由16个工作日压减至8个工作日。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1.开展“双随机、一公开”监管，发现违法违规行为的要依法查处并公开结果。2.根据投诉举报开展重点检查。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烟草制品批发企业的设立、分立、合并、撤销的审批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国家烟草专卖局关于准予设立（分立、合并、撤销）××烟草制品批发企业的决定</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将审批时限由16个工作日压减至8个工作日。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1.开展“双随机、一公开”监管，发现违法违规行为的要依法查处并公开结果。2.根据投诉举报开展重点检查。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烟草专卖批发企业许可证核发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烟草专卖批发企业许可证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国家烟草局；省级烟草部门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将审批时限由15个工作日压减至8个工作日。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1.开展“双随机、一公开”监管，加强对持证主体合规经营的监管，发现违法违规行为的要依法查处并公开结果。2.取缔无证经营主体。</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459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烟草专卖零售许可证核发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烟草专卖零售许可证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设区的市、县级烟草部门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将审批时限由15个工作日压减至8个工作日。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1.开展“双随机、一公开”监管，加强对持证主体合规经营的监管，发现违法违规行为的要依法查处并公开结果。2.取缔无证经营主体。</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2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烟草专卖品准运证核发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烟草专卖品准运证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设区的市级以上烟草部门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《中华人民共和国烟草专卖法》《中华人民共和国烟草专卖法实施条例》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将审批时限由3个工作日压减至2个工作日。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1.开展“双随机、一公开”监管，加强对持证主体合规运输烟草专卖品的监管，发现违法违规行为的要依法查处并公开结果。2.对无证运输或超量携带烟草专卖品的行为依法进行查处。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5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在草原上开展经营性旅游活动审批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草原作业许可证（草原经营性旅游活动）</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县级以上地方林草部门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《中华人民共和国草原法》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开展“双随机、一公开”监管，在草原征占用行为监管过程中，一并对有关经营性旅游活动进行检查，发现违法违规行为的要依法查处并公开结果。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u w:val="single"/>
              </w:rPr>
            </w:pPr>
            <w:r>
              <w:rPr>
                <w:rFonts w:hint="eastAsia" w:ascii="Times New Roman" w:hAnsi="Times New Roman" w:eastAsia="方正书宋_GBK" w:cs="方正书宋_GBK"/>
                <w:color w:val="000000"/>
                <w:kern w:val="0"/>
                <w:sz w:val="20"/>
                <w:szCs w:val="20"/>
                <w:lang w:bidi="ar"/>
              </w:rPr>
              <w:t>林草种子（林木良种，主要草种杂交种子及其亲本种子、常规原种种子，选育生产经营相结合单位）生产经营许可证核发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林草种子生产经营许可证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省级林草部门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不再要求申请人提供经营场所权属证明、生产用地用途证明等材料。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1.开展“双随机、一公开”监管，发现违法违规行为的要依法查处并公开结果。2.加强信用监管，建立企业信用档案并依法公开，对失信单位和个人开展联合惩戒。3.发挥行业协会自律作用。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329"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463</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从事种子进出口业务的林木种子生产经营许可证</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林草种子生产经营许可证</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国家林草局</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全国人大常委会授权决定，暂时调整适用《中华人民共和国种子法》关于“林草种子（进出口）生产经营许可证核发”的规定，取消省级林草部门实施的审核（初审）环节，申请人直接向国家林草局提出申请。2.不再要求申请人提供经营场所权属证明、生产用地用途证明等材料。</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1.开展“双随机、一公开”监管，发现违法违规行为的要依法查处并公开结果。2.加强信用监管，建立企业信用档案并向社会公开，对失信主体开展联合惩戒。3.依法及时处理投诉举报。4.发挥行业协会自律作用。</w:t>
            </w:r>
          </w:p>
        </w:tc>
        <w:tc>
          <w:tcPr>
            <w:tcW w:w="774" w:type="dxa"/>
            <w:tcMar>
              <w:top w:w="57" w:type="dxa"/>
              <w:left w:w="57" w:type="dxa"/>
              <w:bottom w:w="57" w:type="dxa"/>
              <w:right w:w="57" w:type="dxa"/>
            </w:tcMar>
            <w:vAlign w:val="center"/>
          </w:tcPr>
          <w:p>
            <w:pPr>
              <w:spacing w:line="30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75"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464</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草种进出口审批</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草种进出口审批表</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省级林草部门</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1.不再要求申请人提供草种生产经营许可证等材料。2.将草种进出口审批表有效期由3个月延长至6个月。</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1.开展“双随机、一公开”监管，发现违法违规行为的要依法查处并公开结果。2.依法及时处理投诉举报。3.加强信用监管，建立企业信用档案并向社会公开，对失信主体开展联合惩戒。</w:t>
            </w:r>
          </w:p>
        </w:tc>
        <w:tc>
          <w:tcPr>
            <w:tcW w:w="774" w:type="dxa"/>
            <w:tcMar>
              <w:top w:w="57" w:type="dxa"/>
              <w:left w:w="57" w:type="dxa"/>
              <w:bottom w:w="57" w:type="dxa"/>
              <w:right w:w="57" w:type="dxa"/>
            </w:tcMar>
            <w:vAlign w:val="center"/>
          </w:tcPr>
          <w:p>
            <w:pPr>
              <w:spacing w:line="30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普及型国外引种试种苗圃资格认定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普及型国外引种试种苗圃资格证书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国家林草局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不再要求申请人提供林草种子生产经营许可证等材料。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开展“双随机、一公开”监管和专项检查，发现违法违规行为的要依法查处并公开结果。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林草种子质量检验机构资质考核</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林草种子质量检验机构资质证书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 xml:space="preserve">省级以上林草部门  </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《中华人民共和国种子法》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1.不再要求申请人提供工作制度等材料。2.将审批时限由20个工作日压减至15个工作日。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1.开展“双随机、一公开”监管，发现违法违规行为的要依法查处并公开结果。2.加强信用监管，向社会公布检验机构信用状况。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林业质检机构资质认定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林业质检机构资质审查认可授权证书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国家林草局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《中华人民共和国产品质量法》《中华人民共和国标准化法》《中华人民共和国标准化法实施条例》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出售、收购国家二级保护野生植物审批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省级林草部门或者其授权的机构</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《中华人民共和国野生植物保护条例》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不再要求申请人提供身份证明等材料。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加强信用监管，加大监督检查力度，对失信主体开展联合惩戒。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4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469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国务院规定由国家林草局审批的国家重点保护陆生野生动物人工繁育许可证核发（除已制定人工繁育技术标准的物种外）</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国家重点保护陆生野生动物人工繁殖许可证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国家林草局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1.实现申请、审批网上办理，进一步优化审批流程，规范专家评审。2.将审批时限由20个工作日压减至15个工作日。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1.严格执行行业标准和规范，针对不同物种采取差别化、精细化管理方式。2.加强信用监管，对失信主体开展联合惩戒。3.组织开展行业培训。4.发挥行业协会自律作用。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23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权限内国家重点保护陆生野生动物人工繁育许可证核发（除已制定人工繁育技术标准的物种和列入人工繁育国家重点保护陆生野生动物目录的物种外）</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国家重点保护陆生野生动物人工繁殖许可证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省级林草部门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《中华人民共和国野生动物保护法》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1.对申请增加繁育种类的不再要求申请人提供原驯养繁殖许可证和相关批准文件等材料。2.进一步优化审批流程，规范专家评审。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1.严格执行行业标准和规范，针对不同物种采取差别化、精细化管理方式。2.加强信用监管，对失信主体开展联合惩戒。3.组织开展行业培训。4.发挥行业协会自律作用。</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3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铁路运输基础设备生产企业审批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铁路运输基础设备生产企业许可证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国家铁路局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不再要求申请人提供产品认证证明等材料。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1.开展“双随机、一公开”监管，发现违法违规行为的要依法查处并公开结果。2.加强信用监管，向社会公布铁路运输基础设备生产企业信用状况，对失信主体开展联合惩戒。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7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铁路机车车辆设计、制造、维修或进口许可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铁路机车车辆型号合格证、铁路机车车辆制造许可证、铁路机车车辆维修许可证、铁路机车车辆进口许可证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国家铁路局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《铁路安全管理条例》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1.不再要求申请人提供营业执照副本等材料。2.按产品型号，将维修许可证有效期分别延长至5年、8年、10年。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1.开展“双随机、一公开”监管，发现违法违规行为的要依法查处并公开结果。2.加强信用监管，向社会公布铁路机车车辆设计、制造、维修和进口企业信用状况，对失信主体开展联合惩戒。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铁路运输企业准入许可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铁路运输许可证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国家铁路局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不再要求申请人提供营业执照副本等材料。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1.开展“双随机、一公开”监管，发现违法违规行为的要依法查处并公开结果。2.加强信用监管，向社会公布铁路运输企业信用状况，对失信主体开展联合惩戒。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01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民用航空器（发动机、螺旋桨）生产许可（PC）</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优化办事流程，通过邮寄（快递）等方式实现申请人“最多跑一次”。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严格按照相关法律法规和标准加强监管，主管检查员对持证人每年至少进行1次评审，对持证人的质量系统每2年至少进行1次复查，对持证人的供应商每年至少随机抽查2个。</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6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民用航空器零部件制造人批准（PMA）</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零部件制造人批准书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优化办事流程，通过邮寄（快递）等方式实现申请人“最多跑一次”。</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严格按照相关法律法规和标准加强监管，主管检查员对持证人每年至少进行1次评审，对持证人的质量系统每2年至少进行1次复查，对持证人的供应商每年至少随机抽查2个。</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6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民用航空器维修单位维修许可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维修许可证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申请人在民航飞行标准监督管理系统一次性提交申请及相关材料，并可在线查询审批进度。2.对于集团化多地点维修企业，减少企业在各地重复申请许可，推行“一证多地”政策，实现企业申领一张维修许可证即可跨区域从事航空器及部件维修工作。</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1.改进工作差错和不安全事件的监管处理流程，提升监管效率和精准度。2.改进监管理念和作风，不以实行单一惩戒为目标，推动企业合法经营和持续发展。</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公共航空运输企业经营许可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公共航空运输企业经营许可证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1.通过年报制度加强对经营活动的监管。2.通过诚信体系建设，加强主体监管。</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02"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中外公共航空运输承运人运行合格证核发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航空承运人运行合格证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1.优化外国公共航空运输承运人合格审定审批流程。2.对部分项目进行合并或简化，将申请要件由36项压减至20项。</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依托有关系统对监督检查活动进行统一计划管理，对于检查绩效不良的公司适当增加检查频次，对监督检查结果由民航飞行标准监督管理系统记录并视情况采取进一步管控措施。</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3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479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中外航空运输企业航线（航班运输）经营许可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航线经营许可证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通过邮寄（快递）接收申请材料、寄送许可证件。3.航空公司申请国际航权资源实行事前承诺制，要求在获得公共航空运输企业经营许可证、具有与经营该国际航线相适应的民用航空器、投保相关保险、对开航可行性进行充分研究、国外机场运行保障和安保措施证明材料以及有能力确保航权有效执行等方面作出守信承诺。4.取消国内航线经营许可证有效期。</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引入实际飞行数据，提升航线航班执行情况监控的及时性和完整性。2.依法依规对航空运输企业航线（航班运输）经营许可使用情况进行监管，及时注销不符合法规要求的证照。3.加强诚信体系建设，强化对航线航班经营主体的信用约束。4.对航空公司航班计划执行情况和航权使用率实施监测记分，根据记分情况实施新增国际航线航班的准入惩戒，对未在规定期限内开航或未充分使用航权的航空公司实施航权清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航空营运人运输危险品资格批准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危险品航空运输许可证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1.取消审批中的专家评审环节。2.不再要求申请人提供公共航空运输企业经营许可证复印件等材料。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1.推进危险品安全管理体系建设，进一步落实企业安全主体责任。2.依托有关信息系统，完善涉及危险品航空运输的监管事项，加强监督检查力度。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15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商业非运输运营人、私用大型航空器运营人、航空器代管人运行合格证核发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商业非运输运营人运行合格证及私用大型航空器运营人和航空器代管人运行规范</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1.实现网上一次性提交相关材料。2.对部分运行种类（如空中游览、一般商业运行）实现文件审查与现场验证环节合并进行。</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依托有关系统对监督检查活动进行统一计划管理，监督检查结果由系统记录并按分析评估结果视情况采取进一步措施。</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90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通用航空企业经营许可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通用航空企业经营许可证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除被吊销、撤销、注销外，许可证长期有效。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1.开展“双随机、一公开”监管，对载客运输类、载人作业类进行重点监管。2.建立通用航空诚信评价体系，对诚信记录较差的企业增加检查频次及强度。3.加强信用监管，对失信主体开展联合惩戒。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外航驻华常设机构设立审批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外国航空运输企业常驻代表机构批准证书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《中华人民共和国国务院关于管理外国企业常驻代表机构的暂行规定》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委托第三方机构，免费向外航申请人提供全程中英文办理指导。</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1.开展“双随机、一公开”监管、重点监管和非现场监管，及时处理投诉举报。2.对监管中发现的问题及时约谈行政相对人，要求其整改，必要时在民航当局间进行磋商。</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民用航空器驾驶员学校审定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民用航空器驾驶员学校合格证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1.实现申请、审批全程网上办理。2.不再要求申请人提供商业非运输航空运营人合格证等材料。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依托有关系统对监督检查活动进行统一计划管理，监督检查结果由系统记录并按分析评估结果视情况采取进一步措施。</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飞行训练中心合格认定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飞行训练中心合格证及运行规范</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1.精简飞行训练中心合格认定的申请要件，优化申请系统模块。2.合并或删减不必要的项目，避免重复提交材料。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依托有关系统对监督检查活动进行统一计划管理，监督检查结果由系统记录并按分析评估结果视情况采取进一步措施。</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民用航空维修技术人员学校合格认定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维修培训机构合格证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允许申请人网上一次性提交申请及相关材料，并可在线查询审批进度。2.调整运动类和非复杂航空器的机型培训管理方式。3.对较大规模的维修培训机构，减少在各地重复申请许可，推行“一证多地”政策，实现维修培训机构申领一张许可证件即可跨区域从事维修培训工作。</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1.改变监管方式，以培训质量为核心，发挥市场评估和学员评估作用。2.加强信用监管，对失信主体开展联合惩戒。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0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飞行签派员训练机构审批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飞行签派员训练机构资格证书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1.将训练机构合格证有效期由2年延长至5年。2.对续办训练机构合格证的，取消关于“毕业于该飞行签派员训练机构的学员在参加实践考试中第一次测试合格率达到80%”的要求。</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依托有关系统对监督检查活动进行统一计划管理，监督检查结果由系统记录并按分析评估结果视情况采取进一步措施。</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民用航空油料供应商适航批准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民用航空油料供应企业适航批准书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1.除必要的现场审核外，实现其他审查网上办理。2.民航局委托评审机构开展审查，并由其就办理流程、材料初审等环节向申请人提供免费指导。</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对批准单位每年开展1次年度检查，年初制定年度检查计划，对检查情况和整改情况进行跟踪。</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489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民用航空油料企业安全运营许可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民用机场航空燃油供应安全运营许可证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民航地区管理局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1.申请人可就近前往民航地区管理局领取许可证件。2.在申请材料符合完整性、真实性、合法性的基础上，申请人可“最多跑一次”完成取证工作。</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对航油企业进行不定期检查，对可能产生重大影响的情况及时告知航油企业所在机场的管理机构，发现违规情形的要依法查处。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民用航空油料测试单位批准</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民用航空油料检测单位批准函</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1.除必要的现场审核外，实现其他审查网上办理。2.民航局委托评审机构开展审查，并由其就办理流程、材料初审等环节向申请人提供免费指导。</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对批准单位每年开展1次年度检查，年初制定年度检查计划，对检查情况和整改情况进行跟踪。</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设立国际机场审批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实现机场名称变更的申请、审批全程网上办理。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每年年初制定行政检查计划，对辖区内机场进行年度适用性检查，并通过机场安全监管系统实现监察的电子化及整改问题在线流转，每5年对辖区内机场组织实施1次符合性评价。</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对公众开放的民用机场使用许可证核发</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批复文件和民用机场使用许可证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中国民航局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《中华人民共和国民用航空法》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1.实现申请、审批全程网上办理。2.申请人可就近前往民航地区管理局领取许可证件。3.取消许可证5年有效期，改为长期有效。</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每年年初制定行政检查计划，对辖区内机场进行年度适用性检查，并通过机场安全监管系统实现监察的电子化及整改问题在线流转，每5年对辖区内机场组织实施1次符合性评价。</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经营邮政通信业务审批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经营邮政通信批准文件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国家邮政局；省级邮政管理局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1.网上公布审批程序、受理条件、查询方式。2.不再要求申请人提供邮政通信业务经营场地证明等材料。3.将审批时限由20个工作日压减至10个工作日。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1.严格执行法律法规的规定，对经营邮政通信业务企业加强监督。2.开展“双随机、一公开”监管，发现违法违规行为的要依法查处并公开结果。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快递业务经营许可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快递业务经营许可证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国家邮政局；省级邮政管理局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《中华人民共和国邮政法》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1.实现申请、审批全程网上办理并在网上公布审批程序、受理条件、查询方式。2.不再要求申请人提供快递业务经营场地证明等材料。3.将审批时限由45个工作日压减至22个工作日。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1.严格执行法律法规的规定，对快递企业加强监督。2.开展“双随机、一公开”监管，发现违法违规行为的要依法查处并公开结果。</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0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设立文物商店审批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文物商店许可证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不再要求申请人提供文物保管技术条件证明等材料。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1.加强文物商店日常经营状况监测，发现问题及时依法处理。2.依法及时处理投诉举报。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拍卖企业经营文物拍卖许可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文物拍卖许可证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不再要求申请人提供历次股权结构变动情况记录、营业执照、拍卖经营批准证书原件等材料。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1.对经营文物拍卖的拍卖企业，加强日常经营状况监测，发现问题及时依法处理。2.依法及时处理投诉举报。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馆藏文物修复、复制、拓印单位资质认定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可移动文物修复资质证书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不再要求申请人提供有关人员身份证复印件等材料。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1.开展“双随机、一公开”监管，发现违法违规行为的要依法查处并公开结果。2.健全年度报告和公示制度，加强社会监督。3.对馆藏文物修复、复制、拓印单位经营情况开展第三方评估并将评估结果向社会公布。</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8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文物保护工程勘察设计甲级资质审批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文物保护工程勘察设计甲级资质证书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国家文物局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《中华人民共和国文物保护法》《中华人民共和国文物保护法实施条例》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1.实现申请、审批全程网上办理。2.不再要求申请人提供企业章程、主要设备发票等材料。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1.加强“互联网+监管”，发现违法违规行为的要依法查处并公开结果。2.依法及时处理投诉举报。3.针对发现的普遍性和突出问题开展专项检查。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499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文物保护工程施工一级资质审批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文物保护工程施工一级资质证书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国家文物局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《中华人民共和国文物保护法》《中华人民共和国文物保护法实施条例》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1.实现申请、审批全程网上办理。2.不再要求申请人提供企业章程、主要设备发票等材料。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1.加强“互联网+监管”，发现违法违规行为的要依法查处并公开结果。2.依法及时处理投诉举报。3.针对发现的普遍性和突出问题开展专项检查。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文物保护工程监理甲级资质审批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文物保护工程监理甲级资质证书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国家文物局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《中华人民共和国文物保护法》《中华人民共和国文物保护法实施条例》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1.实现申请、审批全程网上办理。2.不再要求申请人提供企业章程、主要设备发票等材料。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1.加强“互联网+监管”，发现违法违规行为的要依法查处并公开结果。2.依法及时处理投诉举报。3.针对发现的普遍性和突出问题开展专项检查。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文物保护工程勘察设计乙级及以下资质审批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文物保护工程勘察设计资质证书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《中华人民共和国文物保护法》《中华人民共和国文物保护法实施条例》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不再要求申请人提供企业章程、主要设备发票等材料。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1.依法及时处理投诉举报。2.加强对文物保护工程实施单位的日常监督管理，针对发现的普遍性和突出问题开展专项检查。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文物保护工程施工二级及以下资质审批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文物保护工程施工资质证书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《中华人民共和国文物保护法》《中华人民共和国文物保护法实施条例》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不再要求申请人提供企业章程、主要设备发票等材料。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1.依法及时处理投诉举报。2.加强对文物保护工程实施单位的日常监督管理，针对发现的普遍性和突出问题开展专项检查。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8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文物保护工程监理乙级及以下资质审批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文物保护工程监理资质证书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省级文物部门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《中华人民共和国文物保护法》《中华人民共和国文物保护法实施条例》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不再要求申请人提供企业章程、主要设备发票等材料。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1.依法及时处理投诉举报。2.加强对文物保护工程实施单位的日常监督管理，针对发现的普遍性和突出问题开展专项检查。</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67"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矿山企业、危险化学品生产企业安全生产许可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安全生产许可证（煤矿）</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省级煤矿安全监察局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sz w:val="20"/>
                <w:szCs w:val="20"/>
              </w:rPr>
              <w:t>除涉煤中央企业总部（总公司、集团公司）外的煤矿企业及煤矿安全生产许可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33"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涉煤中央企业（总公司、集团公司）煤矿安全生产许可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安全生产许可证（煤矿）</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国家煤矿安全监察局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《安全生产许可证条例》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察执法，发现煤矿不具备安全生产条件的要依法查处。2.严格按照安全生产条件对企业申报材料和现场进行审查，对不具备安全生产条件的，不予颁发安全生产许可证。3.加强信用监管，将存在违法违规失信行为的煤矿企业纳入黑名单，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278"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银行、农村信用社、兑换机构及非金融机构等结汇、售汇业务市场准入、退出审批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批准文件、个人本外币兑换特许业务经营许可证或备案通知书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国家外汇局、外汇分局及外汇管理部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《中华人民共和国外汇管理条例》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1.实现预审、审批进度和结果网上查询，推动实现全程网上办理。2.不再要求申请人提供上级金融机构外汇业务合规与审慎经营评估等级证明等材料。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1.开展“双随机、一公开”监管，依法查处违规行为，适时公开相关案例。2.依法及时处理投诉举报。3.开展数据统计与监测，掌握外汇业务情况。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2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保险、证券公司等非银行金融机构外汇业务市场准入、退出审批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国家外汇局及外汇分支局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《中华人民共和国外汇管理条例》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实现预审、审批进度和结果网上查询，推动实现全程网上办理。</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1.开展“双随机、一公开”监管，依法查处违规行为，适时公开相关案例。2.依法及时处理投诉举报。3.开展数据统计与监测，掌握外汇业务情况。</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13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药品生产企业许可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1.落实“四个最严”要求，严格执行药品法律法规规章和标准。2.加强日常监管，通过检查、检验、监测等手段督促企业持续合规经营，依法查处违法违规行为。3.及时向社会公开许可信息，加强社会监督。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9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509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新药生产和上市许可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药品注册批件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1.实现申请、审批全程网上办理。2.将审批时限由20个工作日压减至14个工作日。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1.及时公开许可信息。2.加强药品上市后的监管，发现问题依法处理。3.强化部门间信息共享应用。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2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进口药品（包括进口药品、进口药材、临时进口药品）注册审批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药品注册批件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1.实现申请、审批全程网上办理。2.将审批时限由20个工作日压减至14个工作日。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1.及时公开许可信息。2.加强药品上市后的监管，发现问题依法处理。3.强化部门间信息共享应用。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44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药品委托生产审批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药品委托生产批件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不再要求申请人提供营业执照、药品生产质量管理规范（GMP）证书、药品生产许可证等材料。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1.落实“四个最严”要求，严格执行药品法律法规规章和标准。2.加强日常监管，通过检查、检验、监测等手段督促企业持续合规经营，依法查处违法违规行为。3.及时向社会公开许可信息，加强社会监督。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医疗机构配制制剂许可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医疗机构配制制剂许可证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将审批时限由30个工作日压减至25个工作日。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国产药品再注册审批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药品再注册批件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1.实现申请、审批全程网上办理。2.公布审批程序、受理条件和办理标准，公开办理进度。3.整合药品生产经营许可等审批事项中相关联的现场检查，提高审批效率。</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1.按照程序及时公开许可信息。2.加强药品上市后监管，发现问题依法处理。3.推进部门间信息共享应用。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药品批发企业许可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1.落实“四个最严”要求，制定年度监管计划，突出监管重点，强化风险控制。2.通过日常监管督促企业不断完善、改进质量管理体系，持续合法合规经营。3.对违法违规行为，依法严厉查处并公开曝光。</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86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药品零售企业许可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设区的市、县级药监部门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不再要求申请人提供营业执照等材料。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1.落实“四个最严”要求，制定年度监管计划，突出监管重点，强化风险控制。2.通过日常监管督促企业不断完善、改进质量管理体系，持续合法合规经营。3.对违法违规行为，依法严厉查处并公开曝光。</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7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放射性药品生产企业审批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放射性药品生产企业许可证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国家药监局会同国防科工局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暂时调整适用《放射性药品管理办法》关于“放射性药品生产企业审批”的规定，将放射性药品生产企业审批权限由国家药监局和国家国防科工局下放至省级药监部门和省级国防科技工业部门。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放射性药品生产企业加强监管。2.实施重点监管，发现违法违规行为的要依法严查重处。3.完善药监、国防科工、生态环境等部门间的协调配合机制，及时共享放射性药品生产企业信息。4.及时向社会公开许可证有关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放射性药品经营企业审批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放射性药品经营企业许可证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国家药监局会同国防科工局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《放射性药品管理办法》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暂时调整适用《放射性药品管理办法》关于“放射性药品经营企业审批”的规定，将放射性药品经营企业审批权限由国家药监局和国家国防科工局下放至省级药监部门和省级国防科技工业部门。</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放射性药品经营企业加强监管。2.实施重点监管，发现违法违规行为的要依法严查重处。3.完善药监、国防科工、生态环境等部门间的协调配合机制，及时共享放射性药品经营企业信息。4.及时向社会公开许可证有关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644"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518</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医疗机构使用放射性药品（三、四类）许可</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放射性药品使用许可证</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《放射性药品管理办法》</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不再要求申请人提供人员资历证明等材料。</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医疗机构使用放射性药品加强监管。2.完善药监、卫生健康、生态环境等部门间的协调配合机制，及时共享医疗机构使用放射性药品信息。3.实施重点监管，发现违法违规行为的要依法严查重处。4.及时向社会公开许可信息，加强社会监督。</w:t>
            </w:r>
          </w:p>
        </w:tc>
        <w:tc>
          <w:tcPr>
            <w:tcW w:w="774" w:type="dxa"/>
            <w:tcMar>
              <w:top w:w="57" w:type="dxa"/>
              <w:left w:w="57" w:type="dxa"/>
              <w:bottom w:w="57" w:type="dxa"/>
              <w:right w:w="57" w:type="dxa"/>
            </w:tcMar>
            <w:vAlign w:val="center"/>
          </w:tcPr>
          <w:p>
            <w:pPr>
              <w:spacing w:line="30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994"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519</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生产第一类中的药品类易制毒化学品审批</w:t>
            </w:r>
          </w:p>
        </w:tc>
        <w:tc>
          <w:tcPr>
            <w:tcW w:w="76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药品类易制毒化学品生产许可批件</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《易制毒化学品管理条例》</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不再要求申请人提供药品生产许可证、药品生产质量管理规范（GMP）证书等材料。</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30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520</w:t>
            </w:r>
          </w:p>
        </w:tc>
        <w:tc>
          <w:tcPr>
            <w:tcW w:w="134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经营第一类中的药品类易制毒化学品审批</w:t>
            </w:r>
          </w:p>
        </w:tc>
        <w:tc>
          <w:tcPr>
            <w:tcW w:w="765"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在药品经营许可证经营范围中标注“药品类易制毒化学</w:t>
            </w:r>
            <w:r>
              <w:rPr>
                <w:rFonts w:hint="eastAsia" w:ascii="Times New Roman" w:hAnsi="Times New Roman" w:eastAsia="方正书宋_GBK" w:cs="方正书宋_GBK"/>
                <w:color w:val="000000"/>
                <w:spacing w:val="-11"/>
                <w:kern w:val="0"/>
                <w:sz w:val="20"/>
                <w:szCs w:val="20"/>
                <w:lang w:bidi="ar"/>
              </w:rPr>
              <w:t>品”，括</w:t>
            </w:r>
            <w:r>
              <w:rPr>
                <w:rFonts w:hint="eastAsia" w:ascii="Times New Roman" w:hAnsi="Times New Roman" w:eastAsia="方正书宋_GBK" w:cs="方正书宋_GBK"/>
                <w:color w:val="000000"/>
                <w:kern w:val="0"/>
                <w:sz w:val="20"/>
                <w:szCs w:val="20"/>
                <w:lang w:bidi="ar"/>
              </w:rPr>
              <w:t>号内标注药品类易制毒化学品名称</w:t>
            </w:r>
          </w:p>
        </w:tc>
        <w:tc>
          <w:tcPr>
            <w:tcW w:w="949"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30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《易制毒化学品管理条例》</w:t>
            </w: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30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30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不再要求申请人提供药品经营许可证、药品经营质量管理规范（GSP）证书等材料。</w:t>
            </w:r>
          </w:p>
        </w:tc>
        <w:tc>
          <w:tcPr>
            <w:tcW w:w="3015" w:type="dxa"/>
            <w:tcMar>
              <w:top w:w="57" w:type="dxa"/>
              <w:left w:w="57" w:type="dxa"/>
              <w:bottom w:w="57" w:type="dxa"/>
              <w:right w:w="57" w:type="dxa"/>
            </w:tcMar>
            <w:vAlign w:val="center"/>
          </w:tcPr>
          <w:p>
            <w:pPr>
              <w:widowControl/>
              <w:spacing w:line="30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30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麻醉药品和精神药品生产企业审批</w:t>
            </w:r>
          </w:p>
        </w:tc>
        <w:tc>
          <w:tcPr>
            <w:tcW w:w="765" w:type="dxa"/>
            <w:tcMar>
              <w:top w:w="57" w:type="dxa"/>
              <w:left w:w="57" w:type="dxa"/>
              <w:bottom w:w="57" w:type="dxa"/>
              <w:right w:w="57" w:type="dxa"/>
            </w:tcMar>
            <w:vAlign w:val="center"/>
          </w:tcPr>
          <w:p>
            <w:pPr>
              <w:widowControl/>
              <w:spacing w:line="25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麻醉药品和精神药品定点生产批件在药品生产许可证正本标注类别，副本上类别后标注药品名称</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不再要求申请人提供药品生产许可证、药品生产质量管理规范（GMP）证书等材料。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1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麻醉药品和第一类精神药品全国性批发企业审批</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批准文件，在药品经营许可证上注明</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不再要求申请人提供药品经营许可证、药品经营质量管理规范（GSP）证书等材料。</w:t>
            </w:r>
          </w:p>
        </w:tc>
        <w:tc>
          <w:tcPr>
            <w:tcW w:w="3015" w:type="dxa"/>
            <w:tcMar>
              <w:top w:w="57" w:type="dxa"/>
              <w:left w:w="57" w:type="dxa"/>
              <w:bottom w:w="57" w:type="dxa"/>
              <w:right w:w="57" w:type="dxa"/>
            </w:tcMar>
            <w:vAlign w:val="center"/>
          </w:tcPr>
          <w:p>
            <w:pPr>
              <w:widowControl/>
              <w:spacing w:line="27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麻醉药品和第一类精神药品区域性批发企业经营审批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在药品经营许可证经营范围中注明</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不再要求申请人提供药品经营许可证、药品经营质量管理规范（GSP）证书等材料。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麻醉药品和精神药品进出口准许证核发</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麻醉药品出口</w:t>
            </w:r>
            <w:r>
              <w:rPr>
                <w:rFonts w:hint="eastAsia" w:ascii="Times New Roman" w:hAnsi="Times New Roman" w:eastAsia="方正书宋_GBK" w:cs="方正书宋_GBK"/>
                <w:color w:val="000000"/>
                <w:spacing w:val="-11"/>
                <w:kern w:val="0"/>
                <w:sz w:val="20"/>
                <w:szCs w:val="20"/>
                <w:lang w:bidi="ar"/>
              </w:rPr>
              <w:t>准许证、</w:t>
            </w:r>
            <w:r>
              <w:rPr>
                <w:rFonts w:hint="eastAsia" w:ascii="Times New Roman" w:hAnsi="Times New Roman" w:eastAsia="方正书宋_GBK" w:cs="方正书宋_GBK"/>
                <w:color w:val="000000"/>
                <w:kern w:val="0"/>
                <w:sz w:val="20"/>
                <w:szCs w:val="20"/>
                <w:lang w:bidi="ar"/>
              </w:rPr>
              <w:t>麻醉药品进口</w:t>
            </w:r>
            <w:r>
              <w:rPr>
                <w:rFonts w:hint="eastAsia" w:ascii="Times New Roman" w:hAnsi="Times New Roman" w:eastAsia="方正书宋_GBK" w:cs="方正书宋_GBK"/>
                <w:color w:val="000000"/>
                <w:spacing w:val="-11"/>
                <w:kern w:val="0"/>
                <w:sz w:val="20"/>
                <w:szCs w:val="20"/>
                <w:lang w:bidi="ar"/>
              </w:rPr>
              <w:t>准许证、</w:t>
            </w:r>
            <w:r>
              <w:rPr>
                <w:rFonts w:hint="eastAsia" w:ascii="Times New Roman" w:hAnsi="Times New Roman" w:eastAsia="方正书宋_GBK" w:cs="方正书宋_GBK"/>
                <w:color w:val="000000"/>
                <w:kern w:val="0"/>
                <w:sz w:val="20"/>
                <w:szCs w:val="20"/>
                <w:lang w:bidi="ar"/>
              </w:rPr>
              <w:t>精神药品出口</w:t>
            </w:r>
            <w:r>
              <w:rPr>
                <w:rFonts w:hint="eastAsia" w:ascii="Times New Roman" w:hAnsi="Times New Roman" w:eastAsia="方正书宋_GBK" w:cs="方正书宋_GBK"/>
                <w:color w:val="000000"/>
                <w:spacing w:val="-11"/>
                <w:kern w:val="0"/>
                <w:sz w:val="20"/>
                <w:szCs w:val="20"/>
                <w:lang w:bidi="ar"/>
              </w:rPr>
              <w:t>准许证、</w:t>
            </w:r>
            <w:r>
              <w:rPr>
                <w:rFonts w:hint="eastAsia" w:ascii="Times New Roman" w:hAnsi="Times New Roman" w:eastAsia="方正书宋_GBK" w:cs="方正书宋_GBK"/>
                <w:color w:val="000000"/>
                <w:kern w:val="0"/>
                <w:sz w:val="20"/>
                <w:szCs w:val="20"/>
                <w:lang w:bidi="ar"/>
              </w:rPr>
              <w:t>精神药品进口准许证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《中华人民共和国药品管理法》</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不再要求申请人提供药品生产许可证等材料。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525</w:t>
            </w:r>
          </w:p>
        </w:tc>
        <w:tc>
          <w:tcPr>
            <w:tcW w:w="1342"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药品经营企业从事第二类精神药品批发业务的审批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批准文件，在药品经营许可证经营范围中注明</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不再要求申请人提供药品经营许可证、药品经营质量管理规范（GSP）证书等材料。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第二类精神药品零售业务审批</w:t>
            </w:r>
          </w:p>
        </w:tc>
        <w:tc>
          <w:tcPr>
            <w:tcW w:w="765" w:type="dxa"/>
            <w:tcMar>
              <w:top w:w="57" w:type="dxa"/>
              <w:left w:w="57" w:type="dxa"/>
              <w:bottom w:w="57" w:type="dxa"/>
              <w:right w:w="57" w:type="dxa"/>
            </w:tcMar>
            <w:vAlign w:val="center"/>
          </w:tcPr>
          <w:p>
            <w:pPr>
              <w:widowControl/>
              <w:spacing w:line="26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批准文件，在药品经营许可证经营范围中注明</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《麻醉药品和精神药品管理条例》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不再要求申请人提供药品经营许可证、药品经营质量管理规范（GSP）证书等材料。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药品批发企业经营蛋白同化制剂、肽类激素审批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在药品经营许可证上注明</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《反兴奋剂条例》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不再要求申请人提供药品经营许可证、药品经营质量管理规范（GSP）证书等材料。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蛋白同化制剂、肽类激素进出口审批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药品进出口准许证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《反兴奋剂条例》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不再要求申请人提供药品生产许可证、药品经营许可证等材料。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1.严格执行有关法律法规和规章，对特殊药品生产、经营企业加强监管。2.实施重点监管，发现违法违规行为的要依法严查重处。3.及时向社会公开许可信息，加强社会监督。</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336"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529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第二类、第三类医疗器械生产许可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加大执法检查力度，督促企业严格落实医疗器械生产质量管理规范要求，发现违法违规行为的要依法严查重处。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1"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第二类医疗器械产品注册审批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医疗器械注册证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1.将医疗器械注册数据上报情况列入年度考核内容。2.加大执法检查力度，发现违法违规行为的要依法严查重处。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410"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第三类医疗器械经营许可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设区的市级药监部门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《医疗器械监督管理条例》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将审批时限由30个工作日压减至20个工作日。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加大执法检查力度，督促企业严格落实医疗器械经营质量管理规范要求，发现违法违规行为的要依法严查重处。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化妆品生产许可</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化妆品生产许可证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省级药监部门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《化妆品卫生监督条例》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药物非临床研究质量管理规范（GLP）认证</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药物</w:t>
            </w:r>
            <w:r>
              <w:rPr>
                <w:rFonts w:hint="eastAsia" w:ascii="Times New Roman" w:hAnsi="Times New Roman" w:eastAsia="方正书宋_GBK" w:cs="方正书宋_GBK"/>
                <w:color w:val="000000"/>
                <w:spacing w:val="-11"/>
                <w:kern w:val="0"/>
                <w:sz w:val="20"/>
                <w:szCs w:val="20"/>
                <w:lang w:bidi="ar"/>
              </w:rPr>
              <w:t>（GLP）</w:t>
            </w:r>
            <w:r>
              <w:rPr>
                <w:rFonts w:hint="eastAsia" w:ascii="Times New Roman" w:hAnsi="Times New Roman" w:eastAsia="方正书宋_GBK" w:cs="方正书宋_GBK"/>
                <w:color w:val="000000"/>
                <w:kern w:val="0"/>
                <w:sz w:val="20"/>
                <w:szCs w:val="20"/>
                <w:lang w:bidi="ar"/>
              </w:rPr>
              <w:t>认证批件</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国家药监局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1.实现申请、审批全程网上办理。2.不再要求申请人提供药物研究机构备案证明文件等材料。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1.推动落实省级药监部门药品注册管理的日常监管职责。2.对已通过认证的机构每3年开展定期检查。3.对注册品种检查过程中发现违法违规行为的要依法查处。</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制作、复制、维修、销毁国家秘密载体定点单位甲级资质认定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国家秘密载体印制甲级资质证书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国家保密局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《中华人民共和国保守国家秘密法》《中华人民共和国保守国家秘密法实施条例》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1.不再要求申请人提供验资报告、上一年度财务审计报告等材料。2.在自由贸易试验区将资质证书有效期限由3年延长至5年。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1.开展“双随机、一公开”监管，继续采取飞行检查，完善联动处置机制，发现违规行为的要依法查处。2.将监管结果纳入市场主体的社会信用记录，增强保密资质（格）单位的保密意识，提高保密管理水平。</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制作、复制、维修、销毁国家秘密载体定点单位乙级资质认定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国家秘密载体印制乙级资质证书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省级保密部门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《中华人民共和国保守国家秘密法》《中华人民共和国保守国家秘密法实施条例》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1.不再要求申请人提供验资报告、上一年度财务审计报告等材料。2.在自由贸易试验区将资质证书有效期限由3年延长至5年。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1.开展“双随机、一公开”监管，继续采取飞行检查，完善联动处置机制，发现违规行为的要依法查处。2.将监管结果纳入市场主体的社会信用记录，增强保密资质（格）单位的保密意识，提高保密管理水平。</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536</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涉密信息系统集成单位甲级资质认定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涉密信息系统集成甲级资质证书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国家保密局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《中华人民共和国保守国家秘密法》《中华人民共和国保守国家秘密法实施条例》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1.不再要求申请人提供验资报告、上一年度财务审计报告、电子与智能化工程专业承包资质等材料。2.在自由贸易试验区将资质证书有效期限由3年延长至5年。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1.开展“双随机、一公开”监管，继续采取飞行检查，完善联动处置机制，发现违规行为的要依法查处。2.将监管结果纳入市场主体的社会信用记录，增强保密资质（格）单位的保密意识，提高保密管理水平。</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537</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涉密信息系统集成单位乙级资质认定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涉密信息系统集成乙级资质证书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省级保密部门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《中华人民共和国保守国家秘密法》《中华人民共和国保守国家秘密法实施条例》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1.不再要求申请人提供验资报告、上一年度财务审计报告、电子与智能化工程专业承包资质等材料。2.在自由贸易试验区将资质证书有效期限由3年延长至5年。</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1.开展“双随机、一公开”监管，继续采取飞行检查，完善联动处置机制，发现违规行为的要依法查处。2.将监管结果纳入市场主体的社会信用记录，增强保密资质（格）单位的保密意识，提高保密管理水平。</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538</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武器装备科研生产单位一级保密资格认定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武器装备科研生产单位一级保密资格证书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国家保密局会同国家国防科工局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《中华人民共和国保守国家秘密法》《中华人民共和国保守国家秘密法实施条例》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不再要求申请人提供上一年度财务审计报告等材料。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1.开展“双随机、一公开”监管，继续采取飞行检查，完善联动处置机制，发现违规行为的要依法查处。2.将监管结果纳入市场主体的社会信用记录，增强保密资质（格）单位的保密意识，提高保密管理水平。</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539</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武器装备科研生产单位二级、三级保密资格认定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武器装备科研生产单位二级、三级保密资格证书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省级保密部门会同同级国防科技工业部门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《中华人民共和国保守国家秘密法》《中华人民共和国保守国家秘密法实施条例》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不再要求申请人提供上一年度财务审计报告等材料。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1.开展“双随机、一公开”监管，继续采取飞行检查，完善联动处置机制，发现违规行为的要依法查处。2.将监管结果纳入市场主体的社会信用记录，增强保密资质（格）单位的保密意识，提高保密管理水平。</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540</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商用密码产品质量检测机构审批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商用密码产品检测机构资质证书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国家密码局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《商用密码管理条例》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不再要求申请人提供法人资格证明等材料。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对有投诉举报和质量问题的机构实施重点监管。3.加强信用监管，向社会公布商用密码产品质量检测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541</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电影发行单位（非跨省）设立、变更业务范围或者兼并、合并、分立审批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电影发行经营许可证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国家电影局；省级电影主管部门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《中华人民共和国电影产业促进法》《电影管理条例》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1.不再要求申请人提供营业执照等材料。2.将审批时限由20个工作日压减至14个工作日。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1.开展“双随机、一公开”监管，发现违法违规行为的要依法查处并公开结果。2.依法及时处理投诉举报。3.加强信用监管，向社会公布电影企业信用状况，对失信主体开展联合惩戒。4.发挥行业协会自律作用。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24"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542</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跨省、自治区、直辖市的电影发行单位设立、变更业务范围或者兼并、合并、分立审批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电影发行经营许可证</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国家电影局；省级电影主管部门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《中华人民共和国电影产业促进法》《电影管理条例》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1.不再要求申请人提供营业执照等材料。2.将审批时限由20个工作日压减至14个工作日。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1.开展“双随机、一公开”监管，发现违法违规行为的要依法查处并公开结果。2.依法及时处理投诉举报。3.加强信用监管，向社会公布电影企业信用状况，对失信主体开展联合惩戒。4.发挥行业协会自律作用。</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543</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境外电影机构在华设立办事机构审批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国家电影局关于同意××设立××办事机构的批复</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国家电影局</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《国务院对确需保留的行政审批项目设定行政许可的决定》《外国企业常驻代表机构登记管理条例》</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不再要求申请人提供首席代表、代表的身份证复印件等材料。</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严格执行有关法律法规，重点关注境外电影机构在华办事机构的业务范围与活动，发现违法违规行为的要依法查处并公开结果。2.依法及时处理投诉举报。3.加强信用监管，向社会公布有关机构信用状况，对失信主体开展联合惩戒。</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515"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544</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人民防空工程防护设备定点生产企业资格认定</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人民防空工程防护设备定点生产安装企业资格认定证书</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国家人防办</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《国务院对确需保留的行政审批项目设定行政许可的决定》</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1.根据行业发展状况和技术特点，按照必要性和最简化原则，对防护设备实行目录管理。2.将审批时限由20个工作日压减至15个工作日。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根据不同风险程度、信用水平，合理确定抽查比例。2.对有投诉举报和质量问题的企业实施重点监管。3.对人防企业的从业行为和产品质量实施“互联网+监管”，针对发现的普遍性问题和突发风险开展专项检查。4.加强信用监管，完善黑名单制度，建立失信主体联合惩戒制度。</w:t>
            </w:r>
          </w:p>
        </w:tc>
        <w:tc>
          <w:tcPr>
            <w:tcW w:w="774" w:type="dxa"/>
            <w:tcMar>
              <w:top w:w="57" w:type="dxa"/>
              <w:left w:w="57" w:type="dxa"/>
              <w:bottom w:w="57" w:type="dxa"/>
              <w:right w:w="57" w:type="dxa"/>
            </w:tcMar>
            <w:vAlign w:val="center"/>
          </w:tcPr>
          <w:p>
            <w:pPr>
              <w:spacing w:line="280" w:lineRule="exact"/>
              <w:rPr>
                <w:rFonts w:hint="eastAsia" w:ascii="Times New Roman" w:hAnsi="Times New Roman" w:eastAsia="方正书宋_GBK" w:cs="方正书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699" w:hRule="atLeast"/>
        </w:trPr>
        <w:tc>
          <w:tcPr>
            <w:tcW w:w="421" w:type="dxa"/>
            <w:tcMar>
              <w:top w:w="57" w:type="dxa"/>
              <w:left w:w="57" w:type="dxa"/>
              <w:bottom w:w="57" w:type="dxa"/>
              <w:right w:w="57" w:type="dxa"/>
            </w:tcMar>
            <w:vAlign w:val="center"/>
          </w:tcPr>
          <w:p>
            <w:pPr>
              <w:widowControl/>
              <w:adjustRightInd w:val="0"/>
              <w:snapToGrid w:val="0"/>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545</w:t>
            </w:r>
          </w:p>
        </w:tc>
        <w:tc>
          <w:tcPr>
            <w:tcW w:w="134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钟乳石洞穴旅游开发审批</w:t>
            </w:r>
          </w:p>
        </w:tc>
        <w:tc>
          <w:tcPr>
            <w:tcW w:w="76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无</w:t>
            </w:r>
          </w:p>
        </w:tc>
        <w:tc>
          <w:tcPr>
            <w:tcW w:w="949"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设区市地质矿产主管部门会同设区市旅游行政主管部门</w:t>
            </w:r>
          </w:p>
        </w:tc>
        <w:tc>
          <w:tcPr>
            <w:tcW w:w="1320" w:type="dxa"/>
            <w:tcMar>
              <w:top w:w="57" w:type="dxa"/>
              <w:left w:w="57" w:type="dxa"/>
              <w:bottom w:w="57" w:type="dxa"/>
              <w:right w:w="57" w:type="dxa"/>
            </w:tcMar>
            <w:vAlign w:val="center"/>
          </w:tcPr>
          <w:p>
            <w:pPr>
              <w:widowControl/>
              <w:spacing w:line="280" w:lineRule="exact"/>
              <w:jc w:val="lef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《广西壮族自治区钟乳石资源保护条例》（2002年5月31日广西壮族自治区第九届人民代表大会常务委员会第三十次会议通过，2016年11月30日予以修改）</w:t>
            </w: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7" w:type="dxa"/>
            <w:tcMar>
              <w:top w:w="57" w:type="dxa"/>
              <w:left w:w="57" w:type="dxa"/>
              <w:bottom w:w="57" w:type="dxa"/>
              <w:right w:w="57" w:type="dxa"/>
            </w:tcMar>
            <w:vAlign w:val="center"/>
          </w:tcPr>
          <w:p>
            <w:pPr>
              <w:spacing w:line="280" w:lineRule="exact"/>
              <w:jc w:val="center"/>
              <w:rPr>
                <w:rFonts w:hint="eastAsia" w:ascii="Times New Roman" w:hAnsi="Times New Roman" w:eastAsia="方正书宋_GBK" w:cs="方正书宋_GBK"/>
                <w:color w:val="000000"/>
                <w:sz w:val="20"/>
                <w:szCs w:val="20"/>
              </w:rPr>
            </w:pPr>
          </w:p>
        </w:tc>
        <w:tc>
          <w:tcPr>
            <w:tcW w:w="508" w:type="dxa"/>
            <w:tcMar>
              <w:top w:w="57" w:type="dxa"/>
              <w:left w:w="57" w:type="dxa"/>
              <w:bottom w:w="57" w:type="dxa"/>
              <w:right w:w="57" w:type="dxa"/>
            </w:tcMar>
            <w:vAlign w:val="center"/>
          </w:tcPr>
          <w:p>
            <w:pPr>
              <w:widowControl/>
              <w:spacing w:line="280" w:lineRule="exact"/>
              <w:jc w:val="center"/>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w:t>
            </w:r>
          </w:p>
        </w:tc>
        <w:tc>
          <w:tcPr>
            <w:tcW w:w="2492"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进一步压缩审批时限。将承诺办结时限在现有10个工作日压缩至8个工作日。</w:t>
            </w:r>
          </w:p>
        </w:tc>
        <w:tc>
          <w:tcPr>
            <w:tcW w:w="3015"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1.开展“双随机、一公开”监管，发现违法违规行为的要依法查处并公开结果。2.依法及时处理投诉举报。</w:t>
            </w:r>
          </w:p>
        </w:tc>
        <w:tc>
          <w:tcPr>
            <w:tcW w:w="774" w:type="dxa"/>
            <w:tcMar>
              <w:top w:w="57" w:type="dxa"/>
              <w:left w:w="57" w:type="dxa"/>
              <w:bottom w:w="57" w:type="dxa"/>
              <w:right w:w="57" w:type="dxa"/>
            </w:tcMar>
            <w:vAlign w:val="center"/>
          </w:tcPr>
          <w:p>
            <w:pPr>
              <w:widowControl/>
              <w:spacing w:line="280" w:lineRule="exact"/>
              <w:textAlignment w:val="center"/>
              <w:rPr>
                <w:rFonts w:hint="eastAsia" w:ascii="Times New Roman" w:hAnsi="Times New Roman" w:eastAsia="方正书宋_GBK" w:cs="方正书宋_GBK"/>
                <w:color w:val="000000"/>
                <w:sz w:val="20"/>
                <w:szCs w:val="20"/>
              </w:rPr>
            </w:pPr>
            <w:r>
              <w:rPr>
                <w:rFonts w:hint="eastAsia" w:ascii="Times New Roman" w:hAnsi="Times New Roman" w:eastAsia="方正书宋_GBK" w:cs="方正书宋_GBK"/>
                <w:color w:val="000000"/>
                <w:kern w:val="0"/>
                <w:sz w:val="20"/>
                <w:szCs w:val="20"/>
                <w:lang w:bidi="ar"/>
              </w:rPr>
              <w:t>该项属设区市地质矿产主管部门审批权限</w:t>
            </w:r>
          </w:p>
        </w:tc>
      </w:tr>
      <w:bookmarkEnd w:id="0"/>
    </w:tbl>
    <w:p>
      <w:pPr>
        <w:adjustRightInd w:val="0"/>
        <w:snapToGrid w:val="0"/>
        <w:spacing w:line="590" w:lineRule="exact"/>
        <w:jc w:val="center"/>
        <w:rPr>
          <w:rFonts w:hint="eastAsia" w:ascii="Times New Roman" w:hAnsi="Times New Roman" w:eastAsia="方正小标宋_GBK"/>
          <w:snapToGrid w:val="0"/>
          <w:kern w:val="32"/>
          <w:sz w:val="44"/>
          <w:szCs w:val="44"/>
        </w:rPr>
      </w:pPr>
    </w:p>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gency FB">
    <w:altName w:val="NumberOnly"/>
    <w:panose1 w:val="020B0503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D1F72"/>
    <w:rsid w:val="0E2D1F72"/>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71"/>
    <w:basedOn w:val="2"/>
    <w:qFormat/>
    <w:uiPriority w:val="0"/>
    <w:rPr>
      <w:rFonts w:hint="default" w:ascii="仿宋_GB2312" w:hAnsi="Times New Roman" w:eastAsia="仿宋_GB2312" w:cs="仿宋_GB2312"/>
      <w:color w:val="000000"/>
      <w:sz w:val="16"/>
      <w:szCs w:val="16"/>
      <w:u w:val="none"/>
    </w:rPr>
  </w:style>
  <w:style w:type="character" w:customStyle="1" w:styleId="5">
    <w:name w:val="font01"/>
    <w:basedOn w:val="2"/>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2019-12-11T03:12:00Z</dcterms:created>
  <dc:creator>dengd</dc:creator>
  <cp:lastModifiedBy>dengd</cp:lastModifiedBy>
  <dcterms:modified xsi:type="dcterms:W3CDTF">2019-12-11T03:12:38Z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