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34" w:rsidRPr="006A4D8E" w:rsidRDefault="00821FD3" w:rsidP="006A4D8E">
      <w:pPr>
        <w:adjustRightInd w:val="0"/>
        <w:snapToGrid w:val="0"/>
        <w:spacing w:line="600" w:lineRule="exact"/>
        <w:jc w:val="center"/>
        <w:rPr>
          <w:rFonts w:ascii="方正小标宋_GBK" w:eastAsia="方正小标宋_GBK" w:hAnsiTheme="majorEastAsia"/>
          <w:color w:val="000000" w:themeColor="text1"/>
          <w:sz w:val="44"/>
          <w:szCs w:val="44"/>
        </w:rPr>
      </w:pPr>
      <w:r>
        <w:rPr>
          <w:rFonts w:ascii="方正小标宋_GBK" w:eastAsia="方正小标宋_GBK" w:hAnsiTheme="majorEastAsia" w:hint="eastAsia"/>
          <w:color w:val="000000" w:themeColor="text1"/>
          <w:sz w:val="44"/>
          <w:szCs w:val="44"/>
        </w:rPr>
        <w:t>江苏省</w:t>
      </w:r>
      <w:r w:rsidR="00182AB2" w:rsidRPr="006A4D8E">
        <w:rPr>
          <w:rFonts w:ascii="方正小标宋_GBK" w:eastAsia="方正小标宋_GBK" w:hAnsiTheme="majorEastAsia" w:hint="eastAsia"/>
          <w:color w:val="000000" w:themeColor="text1"/>
          <w:sz w:val="44"/>
          <w:szCs w:val="44"/>
        </w:rPr>
        <w:t>运</w:t>
      </w:r>
      <w:bookmarkStart w:id="0" w:name="_GoBack"/>
      <w:bookmarkEnd w:id="0"/>
      <w:r w:rsidR="00182AB2" w:rsidRPr="006A4D8E">
        <w:rPr>
          <w:rFonts w:ascii="方正小标宋_GBK" w:eastAsia="方正小标宋_GBK" w:hAnsiTheme="majorEastAsia" w:hint="eastAsia"/>
          <w:color w:val="000000" w:themeColor="text1"/>
          <w:sz w:val="44"/>
          <w:szCs w:val="44"/>
        </w:rPr>
        <w:t>动营养食品生产许可审查细则</w:t>
      </w:r>
    </w:p>
    <w:p w:rsidR="003630C0" w:rsidRPr="00A36FFF" w:rsidRDefault="006A4D8E" w:rsidP="006A4D8E">
      <w:pPr>
        <w:adjustRightInd w:val="0"/>
        <w:snapToGrid w:val="0"/>
        <w:spacing w:line="600" w:lineRule="exact"/>
        <w:jc w:val="center"/>
        <w:rPr>
          <w:rFonts w:ascii="方正楷体_GBK" w:eastAsia="方正楷体_GBK" w:hAnsiTheme="majorEastAsia"/>
          <w:color w:val="000000" w:themeColor="text1"/>
          <w:sz w:val="36"/>
          <w:szCs w:val="36"/>
        </w:rPr>
      </w:pPr>
      <w:r w:rsidRPr="00A36FFF">
        <w:rPr>
          <w:rFonts w:ascii="方正楷体_GBK" w:eastAsia="方正楷体_GBK" w:hAnsiTheme="majorEastAsia" w:hint="eastAsia"/>
          <w:color w:val="000000" w:themeColor="text1"/>
          <w:sz w:val="36"/>
          <w:szCs w:val="36"/>
        </w:rPr>
        <w:t>（征求意见稿）</w:t>
      </w:r>
    </w:p>
    <w:p w:rsidR="006A4D8E" w:rsidRDefault="006A4D8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A23234" w:rsidRPr="00A24BDE" w:rsidRDefault="00182AB2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第一</w:t>
      </w:r>
      <w:r w:rsidR="00567B2A" w:rsidRPr="00A24BDE">
        <w:rPr>
          <w:rFonts w:ascii="黑体" w:eastAsia="黑体" w:hAnsi="黑体" w:hint="eastAsia"/>
          <w:sz w:val="32"/>
          <w:szCs w:val="32"/>
        </w:rPr>
        <w:t>章 总则</w:t>
      </w:r>
    </w:p>
    <w:p w:rsidR="00FC21BC" w:rsidRPr="00A24BDE" w:rsidRDefault="003630C0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第一条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4205B3" w:rsidRPr="00A24BDE">
        <w:rPr>
          <w:rFonts w:ascii="方正仿宋_GBK" w:eastAsia="方正仿宋_GBK" w:hAnsiTheme="minorEastAsia" w:hint="eastAsia"/>
          <w:sz w:val="32"/>
          <w:szCs w:val="32"/>
        </w:rPr>
        <w:t>为规范运动营养食品生产许可活动，加强运动营养食品安全监管，根据《中华人民共和国食品安全法》《食品生产许可管理办法》和食品安全国家标准的规定，制定本细则。</w:t>
      </w:r>
    </w:p>
    <w:p w:rsidR="00A23234" w:rsidRPr="00A24BDE" w:rsidRDefault="00FC21B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b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第二条</w:t>
      </w:r>
      <w:r w:rsidRPr="00A24BD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本细则中所称运动营养食品是指为满足运动人群（指每周参加体育锻炼3次及以上、每次持续时间30min及以上、每次运动强度达到中等及以上的人群）的生理代谢状态、运动能力及对某些营养成分的特殊需求而专门加工的食品</w:t>
      </w:r>
      <w:r w:rsidR="00182AB2" w:rsidRPr="00A24BDE">
        <w:rPr>
          <w:rFonts w:ascii="方正仿宋_GBK" w:eastAsia="方正仿宋_GBK" w:hint="eastAsia"/>
          <w:sz w:val="32"/>
          <w:szCs w:val="32"/>
        </w:rPr>
        <w:t>。</w:t>
      </w:r>
    </w:p>
    <w:p w:rsidR="003630C0" w:rsidRPr="00A24BDE" w:rsidRDefault="003630C0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</w:t>
      </w:r>
      <w:r w:rsidR="00FC21BC" w:rsidRPr="00A24BDE">
        <w:rPr>
          <w:rFonts w:ascii="黑体" w:eastAsia="黑体" w:hAnsi="黑体" w:hint="eastAsia"/>
          <w:sz w:val="32"/>
          <w:szCs w:val="32"/>
        </w:rPr>
        <w:t>三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运动营养食品的申证类别为特殊膳食食品；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运动营养食品生产许可类别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为</w:t>
      </w:r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特殊膳食食品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；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类别编号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为</w:t>
      </w:r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3003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；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类别名称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为</w:t>
      </w:r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其他特殊膳食食品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；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品种明细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为</w:t>
      </w:r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运动营养食品（</w:t>
      </w:r>
      <w:bookmarkStart w:id="1" w:name="OLE_LINK1"/>
      <w:bookmarkStart w:id="2" w:name="OLE_LINK2"/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补充能量类、控制能量类、补充蛋白质类、速度力量类、耐力类、运动后恢复类</w:t>
      </w:r>
      <w:bookmarkEnd w:id="1"/>
      <w:bookmarkEnd w:id="2"/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）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。品种明细应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A7553C" w:rsidRPr="00A24BDE">
        <w:rPr>
          <w:rFonts w:ascii="方正仿宋_GBK" w:eastAsia="方正仿宋_GBK" w:hAnsiTheme="minorEastAsia" w:hint="eastAsia"/>
          <w:sz w:val="32"/>
          <w:szCs w:val="32"/>
        </w:rPr>
        <w:t>标明产品状态（固态（粉末、块/粒状）、半固态、液态）。</w:t>
      </w:r>
    </w:p>
    <w:p w:rsidR="003630C0" w:rsidRPr="00A24BDE" w:rsidRDefault="00A7553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产品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执行标准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为</w:t>
      </w:r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《食品安全国家标准 运动营养食品通则》（GB24154）及食品安全企业标准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BA398E" w:rsidRPr="00A24BDE" w:rsidRDefault="00BA398E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以胶囊、口服液、丸剂等名称、形态生产的产品，不予生产许可。</w:t>
      </w:r>
    </w:p>
    <w:p w:rsidR="00A23234" w:rsidRPr="00A24BDE" w:rsidRDefault="003630C0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lastRenderedPageBreak/>
        <w:t>第</w:t>
      </w:r>
      <w:r w:rsidR="00FC21BC" w:rsidRPr="00A24BDE">
        <w:rPr>
          <w:rFonts w:ascii="黑体" w:eastAsia="黑体" w:hAnsi="黑体" w:hint="eastAsia"/>
          <w:sz w:val="32"/>
          <w:szCs w:val="32"/>
        </w:rPr>
        <w:t>四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本</w:t>
      </w:r>
      <w:r w:rsidR="00CF2B63" w:rsidRPr="00A24BDE">
        <w:rPr>
          <w:rFonts w:ascii="方正仿宋_GBK" w:eastAsia="方正仿宋_GBK" w:hAnsiTheme="minorEastAsia" w:hint="eastAsia"/>
          <w:sz w:val="32"/>
          <w:szCs w:val="32"/>
        </w:rPr>
        <w:t>细则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与《食品生产许可审查通则》结合使用，仅适用于江苏省运动营养食品生产许可审查工作。仅有包装场地、工序、设备，没有完整的生产条件，不生产运动营养食品最终销售包装产品的，不予生产许可。</w:t>
      </w:r>
    </w:p>
    <w:p w:rsidR="00A23234" w:rsidRPr="00A24BDE" w:rsidRDefault="003630C0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</w:t>
      </w:r>
      <w:r w:rsidR="00FC21BC" w:rsidRPr="00A24BDE">
        <w:rPr>
          <w:rFonts w:ascii="黑体" w:eastAsia="黑体" w:hAnsi="黑体" w:hint="eastAsia"/>
          <w:sz w:val="32"/>
          <w:szCs w:val="32"/>
        </w:rPr>
        <w:t>五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本</w:t>
      </w:r>
      <w:r w:rsidR="00CF2B63" w:rsidRPr="00A24BDE">
        <w:rPr>
          <w:rFonts w:ascii="方正仿宋_GBK" w:eastAsia="方正仿宋_GBK" w:hAnsiTheme="minorEastAsia" w:hint="eastAsia"/>
          <w:sz w:val="32"/>
          <w:szCs w:val="32"/>
        </w:rPr>
        <w:t>细则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中引用的文件、标准通过引用成为本</w:t>
      </w:r>
      <w:r w:rsidR="00CF2B63" w:rsidRPr="00A24BDE">
        <w:rPr>
          <w:rFonts w:ascii="方正仿宋_GBK" w:eastAsia="方正仿宋_GBK" w:hAnsiTheme="minorEastAsia" w:hint="eastAsia"/>
          <w:sz w:val="32"/>
          <w:szCs w:val="32"/>
        </w:rPr>
        <w:t>细则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的内容。凡是引用文件、标准，其最新版本（包括所有的修改单）适用于本</w:t>
      </w:r>
      <w:r w:rsidR="00CF2B63" w:rsidRPr="00A24BDE">
        <w:rPr>
          <w:rFonts w:ascii="方正仿宋_GBK" w:eastAsia="方正仿宋_GBK" w:hAnsiTheme="minorEastAsia" w:hint="eastAsia"/>
          <w:sz w:val="32"/>
          <w:szCs w:val="32"/>
        </w:rPr>
        <w:t>细则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A24BDE" w:rsidRDefault="00A24BDE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A23234" w:rsidRPr="00A24BDE" w:rsidRDefault="00182AB2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</w:t>
      </w:r>
      <w:r w:rsidR="00567B2A" w:rsidRPr="00A24BDE">
        <w:rPr>
          <w:rFonts w:ascii="黑体" w:eastAsia="黑体" w:hAnsi="黑体" w:hint="eastAsia"/>
          <w:sz w:val="32"/>
          <w:szCs w:val="32"/>
        </w:rPr>
        <w:t xml:space="preserve">章 </w:t>
      </w:r>
      <w:r w:rsidRPr="00A24BDE">
        <w:rPr>
          <w:rFonts w:ascii="黑体" w:eastAsia="黑体" w:hAnsi="黑体" w:hint="eastAsia"/>
          <w:sz w:val="32"/>
          <w:szCs w:val="32"/>
        </w:rPr>
        <w:t>生产场所核查</w:t>
      </w:r>
    </w:p>
    <w:p w:rsidR="00A23234" w:rsidRPr="00A24BDE" w:rsidRDefault="00BC1B7A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</w:t>
      </w:r>
      <w:r w:rsidR="00FC21BC" w:rsidRPr="00A24BDE">
        <w:rPr>
          <w:rFonts w:ascii="黑体" w:eastAsia="黑体" w:hAnsi="黑体" w:hint="eastAsia"/>
          <w:sz w:val="32"/>
          <w:szCs w:val="32"/>
        </w:rPr>
        <w:t>六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厂房选址和设计、内部建筑结构、辅助生产设施应当符合《食品安全国家标准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食品生产通用卫生规范》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（GB 14881）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的相关规定；运动营养食品生产企业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具备与生产能力相适应的生产场所，生产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车间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按洁净度要求划分为清洁作业区、准清洁作业区和一般作业区，运动营养食品生产车间作业区具体划分见附件1。</w:t>
      </w:r>
    </w:p>
    <w:p w:rsidR="00A23234" w:rsidRPr="00A24BDE" w:rsidRDefault="00BC1B7A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</w:t>
      </w:r>
      <w:r w:rsidR="00FC21BC" w:rsidRPr="00A24BDE">
        <w:rPr>
          <w:rFonts w:ascii="黑体" w:eastAsia="黑体" w:hAnsi="黑体" w:hint="eastAsia"/>
          <w:sz w:val="32"/>
          <w:szCs w:val="32"/>
        </w:rPr>
        <w:t>七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清洁作业区应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对空气进行过滤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和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净化处理，定期对清洁作业区进行空气质量检测，并对检测能力进行验证。在工艺设备安装完毕、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生产车间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重大改造后或停产3个月以上应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对清洁作业区的空气洁净度进行检测，符合要求后方可投入生产。清洁作业区空气洁净度要求和监</w:t>
      </w:r>
      <w:r w:rsidR="00863660" w:rsidRPr="00A24BDE">
        <w:rPr>
          <w:rFonts w:ascii="方正仿宋_GBK" w:eastAsia="方正仿宋_GBK" w:hAnsiTheme="minorEastAsia" w:hint="eastAsia"/>
          <w:sz w:val="32"/>
          <w:szCs w:val="32"/>
        </w:rPr>
        <w:t>测频次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要求详见附件2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A23234" w:rsidRPr="00A24BDE" w:rsidRDefault="00FC21B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第八</w:t>
      </w:r>
      <w:r w:rsidR="00BC1B7A" w:rsidRPr="00A24BDE">
        <w:rPr>
          <w:rFonts w:ascii="黑体" w:eastAsia="黑体" w:hAnsi="黑体" w:hint="eastAsia"/>
          <w:sz w:val="32"/>
          <w:szCs w:val="32"/>
        </w:rPr>
        <w:t>条</w:t>
      </w:r>
      <w:r w:rsidR="00BC1B7A"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生产场所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根据工艺</w:t>
      </w:r>
      <w:r w:rsidR="00863660" w:rsidRPr="00A24BDE">
        <w:rPr>
          <w:rFonts w:ascii="方正仿宋_GBK" w:eastAsia="方正仿宋_GBK" w:hAnsiTheme="minorEastAsia" w:hint="eastAsia"/>
          <w:sz w:val="32"/>
          <w:szCs w:val="32"/>
        </w:rPr>
        <w:t>特性和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流程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设有相应的供排水设施、清洁消毒设施、个人卫生设施、照明设施、仓储设施等。生产场所与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设备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设施应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根据工艺合理布局，并便于卫生管理和清洗、消毒。</w:t>
      </w:r>
    </w:p>
    <w:p w:rsidR="00201EC3" w:rsidRPr="00A24BDE" w:rsidRDefault="00FC21B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第九</w:t>
      </w:r>
      <w:r w:rsidR="00BC1B7A" w:rsidRPr="00A24BDE">
        <w:rPr>
          <w:rFonts w:ascii="黑体" w:eastAsia="黑体" w:hAnsi="黑体" w:hint="eastAsia"/>
          <w:sz w:val="32"/>
          <w:szCs w:val="32"/>
        </w:rPr>
        <w:t>条</w:t>
      </w:r>
      <w:r w:rsidR="00BC1B7A"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生产场所或生产车间入口处应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设置更衣室，</w:t>
      </w:r>
      <w:r w:rsidR="00863660" w:rsidRPr="00A24BDE">
        <w:rPr>
          <w:rFonts w:ascii="方正仿宋_GBK" w:eastAsia="方正仿宋_GBK" w:hAnsiTheme="minorEastAsia" w:hint="eastAsia"/>
          <w:sz w:val="32"/>
          <w:szCs w:val="32"/>
        </w:rPr>
        <w:t>并设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洗手、干手和消毒设施</w:t>
      </w:r>
      <w:r w:rsidR="00863660" w:rsidRPr="00A24BDE">
        <w:rPr>
          <w:rFonts w:ascii="方正仿宋_GBK" w:eastAsia="方正仿宋_GBK" w:hAnsiTheme="minorEastAsia" w:hint="eastAsia"/>
          <w:sz w:val="32"/>
          <w:szCs w:val="32"/>
        </w:rPr>
        <w:t>、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换鞋（穿戴鞋套）消毒设施。清洁作业区入口应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设置二次更衣区</w:t>
      </w:r>
      <w:r w:rsidR="00863660" w:rsidRPr="00A24BDE">
        <w:rPr>
          <w:rFonts w:ascii="方正仿宋_GBK" w:eastAsia="方正仿宋_GBK" w:hAnsiTheme="minorEastAsia" w:hint="eastAsia"/>
          <w:sz w:val="32"/>
          <w:szCs w:val="32"/>
        </w:rPr>
        <w:t>和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洗手、干手和消毒设施</w:t>
      </w:r>
      <w:r w:rsidR="00863660" w:rsidRPr="00A24BDE">
        <w:rPr>
          <w:rFonts w:ascii="方正仿宋_GBK" w:eastAsia="方正仿宋_GBK" w:hAnsiTheme="minorEastAsia" w:hint="eastAsia"/>
          <w:sz w:val="32"/>
          <w:szCs w:val="32"/>
        </w:rPr>
        <w:t>、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换鞋（穿戴鞋套）消毒设施。</w:t>
      </w:r>
    </w:p>
    <w:p w:rsidR="00A24BDE" w:rsidRDefault="00A24BDE" w:rsidP="00A24BDE">
      <w:pPr>
        <w:adjustRightInd w:val="0"/>
        <w:snapToGrid w:val="0"/>
        <w:spacing w:line="600" w:lineRule="exact"/>
        <w:ind w:firstLineChars="1000" w:firstLine="3213"/>
        <w:rPr>
          <w:rFonts w:asciiTheme="minorEastAsia" w:hAnsiTheme="minorEastAsia"/>
          <w:b/>
          <w:sz w:val="32"/>
          <w:szCs w:val="32"/>
        </w:rPr>
      </w:pPr>
    </w:p>
    <w:p w:rsidR="00A23234" w:rsidRPr="00A24BDE" w:rsidRDefault="00182AB2" w:rsidP="00CE5B7A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第三</w:t>
      </w:r>
      <w:r w:rsidR="00567B2A" w:rsidRPr="00A24BDE">
        <w:rPr>
          <w:rFonts w:ascii="黑体" w:eastAsia="黑体" w:hAnsi="黑体" w:hint="eastAsia"/>
          <w:sz w:val="32"/>
          <w:szCs w:val="32"/>
        </w:rPr>
        <w:t xml:space="preserve">章 </w:t>
      </w:r>
      <w:r w:rsidRPr="00A24BDE">
        <w:rPr>
          <w:rFonts w:ascii="黑体" w:eastAsia="黑体" w:hAnsi="黑体" w:hint="eastAsia"/>
          <w:sz w:val="32"/>
          <w:szCs w:val="32"/>
        </w:rPr>
        <w:t>设备设施核查</w:t>
      </w:r>
    </w:p>
    <w:p w:rsidR="003B057F" w:rsidRPr="00A24BDE" w:rsidRDefault="00FC21B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3B057F" w:rsidRPr="00A24BDE">
        <w:rPr>
          <w:rFonts w:ascii="方正仿宋_GBK" w:eastAsia="方正仿宋_GBK" w:hAnsiTheme="minorEastAsia" w:hint="eastAsia"/>
          <w:sz w:val="32"/>
          <w:szCs w:val="32"/>
        </w:rPr>
        <w:t>生产设备和设施</w:t>
      </w:r>
      <w:r w:rsidR="00BA398E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3B057F" w:rsidRPr="00A24BDE">
        <w:rPr>
          <w:rFonts w:ascii="方正仿宋_GBK" w:eastAsia="方正仿宋_GBK" w:hAnsiTheme="minorEastAsia" w:hint="eastAsia"/>
          <w:sz w:val="32"/>
          <w:szCs w:val="32"/>
        </w:rPr>
        <w:t>根据实际工艺需要配备。</w:t>
      </w:r>
    </w:p>
    <w:p w:rsidR="00A23234" w:rsidRPr="00A24BDE" w:rsidRDefault="003B057F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固态</w:t>
      </w:r>
      <w:r w:rsidR="00CC34FF" w:rsidRPr="00A24BDE">
        <w:rPr>
          <w:rFonts w:ascii="方正仿宋_GBK" w:eastAsia="方正仿宋_GBK" w:hAnsiTheme="minorEastAsia" w:hint="eastAsia"/>
          <w:sz w:val="32"/>
          <w:szCs w:val="32"/>
        </w:rPr>
        <w:t>（粉末）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运动营养食品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生产设备</w:t>
      </w:r>
      <w:r w:rsidR="00F07FBF" w:rsidRPr="00A24BDE">
        <w:rPr>
          <w:rFonts w:ascii="方正仿宋_GBK" w:eastAsia="方正仿宋_GBK" w:hAnsiTheme="minorEastAsia" w:hint="eastAsia"/>
          <w:sz w:val="32"/>
          <w:szCs w:val="32"/>
        </w:rPr>
        <w:t>一般应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F07FBF" w:rsidRPr="00A24BDE">
        <w:rPr>
          <w:rFonts w:ascii="方正仿宋_GBK" w:eastAsia="方正仿宋_GBK" w:hAnsiTheme="minorEastAsia" w:hint="eastAsia"/>
          <w:sz w:val="32"/>
          <w:szCs w:val="32"/>
        </w:rPr>
        <w:t>包括：</w:t>
      </w:r>
      <w:r w:rsidR="00F4677A" w:rsidRPr="00A24BDE">
        <w:rPr>
          <w:rFonts w:ascii="方正仿宋_GBK" w:eastAsia="方正仿宋_GBK" w:hAnsiTheme="minorEastAsia" w:hint="eastAsia"/>
          <w:sz w:val="32"/>
          <w:szCs w:val="32"/>
        </w:rPr>
        <w:t>原料处理设施（粉碎设备、过筛设备等）、</w:t>
      </w:r>
      <w:r w:rsidR="00F07FBF" w:rsidRPr="00A24BDE">
        <w:rPr>
          <w:rFonts w:ascii="方正仿宋_GBK" w:eastAsia="方正仿宋_GBK" w:hAnsiTheme="minorEastAsia" w:hint="eastAsia"/>
          <w:sz w:val="32"/>
          <w:szCs w:val="32"/>
        </w:rPr>
        <w:t>混合配料设备、焙</w:t>
      </w:r>
      <w:r w:rsidR="00F4677A" w:rsidRPr="00A24BDE">
        <w:rPr>
          <w:rFonts w:ascii="方正仿宋_GBK" w:eastAsia="方正仿宋_GBK" w:hAnsiTheme="minorEastAsia" w:hint="eastAsia"/>
          <w:sz w:val="32"/>
          <w:szCs w:val="32"/>
        </w:rPr>
        <w:t>干</w:t>
      </w:r>
      <w:r w:rsidR="00F07FBF" w:rsidRPr="00A24BDE">
        <w:rPr>
          <w:rFonts w:ascii="方正仿宋_GBK" w:eastAsia="方正仿宋_GBK" w:hAnsiTheme="minorEastAsia" w:hint="eastAsia"/>
          <w:sz w:val="32"/>
          <w:szCs w:val="32"/>
        </w:rPr>
        <w:t>设备（有该工艺的）、干燥脱水设备（湿法工艺）、自动包装设备、金属检测设备、自动喷码设备等。</w:t>
      </w:r>
    </w:p>
    <w:p w:rsidR="005E57FC" w:rsidRPr="00A24BDE" w:rsidRDefault="005E57F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固态</w:t>
      </w:r>
      <w:r w:rsidR="00CC34FF" w:rsidRPr="00A24BDE">
        <w:rPr>
          <w:rFonts w:ascii="方正仿宋_GBK" w:eastAsia="方正仿宋_GBK" w:hAnsiTheme="minorEastAsia" w:hint="eastAsia"/>
          <w:sz w:val="32"/>
          <w:szCs w:val="32"/>
        </w:rPr>
        <w:t>（块/粒状）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运动营养食品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生产设备一般应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包括：</w:t>
      </w:r>
      <w:r w:rsidR="005A0137" w:rsidRPr="00A24BDE">
        <w:rPr>
          <w:rFonts w:ascii="方正仿宋_GBK" w:eastAsia="方正仿宋_GBK" w:hAnsiTheme="minorEastAsia" w:hint="eastAsia"/>
          <w:sz w:val="32"/>
          <w:szCs w:val="32"/>
        </w:rPr>
        <w:t>原料前处理设备、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配料</w:t>
      </w:r>
      <w:r w:rsidR="005A0137" w:rsidRPr="00A24BDE">
        <w:rPr>
          <w:rFonts w:ascii="方正仿宋_GBK" w:eastAsia="方正仿宋_GBK" w:hAnsiTheme="minorEastAsia" w:hint="eastAsia"/>
          <w:sz w:val="32"/>
          <w:szCs w:val="32"/>
        </w:rPr>
        <w:t>投料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设备、</w:t>
      </w:r>
      <w:r w:rsidR="005A0137" w:rsidRPr="00A24BDE">
        <w:rPr>
          <w:rFonts w:ascii="方正仿宋_GBK" w:eastAsia="方正仿宋_GBK" w:hAnsiTheme="minorEastAsia" w:hint="eastAsia"/>
          <w:sz w:val="32"/>
          <w:szCs w:val="32"/>
        </w:rPr>
        <w:t>熬煮设备</w:t>
      </w:r>
      <w:r w:rsidR="006928CC" w:rsidRPr="00A24BDE">
        <w:rPr>
          <w:rFonts w:ascii="方正仿宋_GBK" w:eastAsia="方正仿宋_GBK" w:hAnsiTheme="minorEastAsia" w:hint="eastAsia"/>
          <w:sz w:val="32"/>
          <w:szCs w:val="32"/>
        </w:rPr>
        <w:t>（有该工艺的）</w:t>
      </w:r>
      <w:r w:rsidR="005A0137" w:rsidRPr="00A24BDE">
        <w:rPr>
          <w:rFonts w:ascii="方正仿宋_GBK" w:eastAsia="方正仿宋_GBK" w:hAnsiTheme="minorEastAsia" w:hint="eastAsia"/>
          <w:sz w:val="32"/>
          <w:szCs w:val="32"/>
        </w:rPr>
        <w:t>、成型设备、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焙烤设备（有该工艺的）、自动包装设备、金属检测设备、自动喷码设备等。</w:t>
      </w:r>
    </w:p>
    <w:p w:rsidR="005E57FC" w:rsidRPr="00A24BDE" w:rsidRDefault="006928CC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液态和半固态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运动营养食品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生产设备一般应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包括：水处理设备、配料</w:t>
      </w:r>
      <w:r w:rsidR="00752887" w:rsidRPr="00A24BDE">
        <w:rPr>
          <w:rFonts w:ascii="方正仿宋_GBK" w:eastAsia="方正仿宋_GBK" w:hAnsiTheme="minorEastAsia" w:hint="eastAsia"/>
          <w:sz w:val="32"/>
          <w:szCs w:val="32"/>
        </w:rPr>
        <w:t>投料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设施、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溶胶/煮料设备（半固态产品必备）、混合</w:t>
      </w:r>
      <w:r w:rsidR="0005494D" w:rsidRPr="00A24BDE">
        <w:rPr>
          <w:rFonts w:ascii="方正仿宋_GBK" w:eastAsia="方正仿宋_GBK" w:hAnsiTheme="minorEastAsia" w:hint="eastAsia"/>
          <w:sz w:val="32"/>
          <w:szCs w:val="32"/>
        </w:rPr>
        <w:t>调配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设备</w:t>
      </w:r>
      <w:r w:rsidR="0005494D" w:rsidRPr="00A24BDE">
        <w:rPr>
          <w:rFonts w:ascii="方正仿宋_GBK" w:eastAsia="方正仿宋_GBK" w:hAnsiTheme="minorEastAsia" w:hint="eastAsia"/>
          <w:sz w:val="32"/>
          <w:szCs w:val="32"/>
        </w:rPr>
        <w:t>、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过滤澄清设备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、</w:t>
      </w:r>
      <w:r w:rsidR="00932EB3" w:rsidRPr="00A24BDE">
        <w:rPr>
          <w:rFonts w:ascii="方正仿宋_GBK" w:eastAsia="方正仿宋_GBK" w:hAnsiTheme="minorEastAsia" w:hint="eastAsia"/>
          <w:sz w:val="32"/>
          <w:szCs w:val="32"/>
        </w:rPr>
        <w:t>均质设备（有该工艺的）、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杀菌设备、生产设备清洗消毒设施、自动灌装封盖（口）设备、自动喷码设备等。应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根据</w:t>
      </w:r>
      <w:r w:rsidR="00752887" w:rsidRPr="00A24BDE">
        <w:rPr>
          <w:rFonts w:ascii="方正仿宋_GBK" w:eastAsia="方正仿宋_GBK" w:hAnsiTheme="minorEastAsia" w:hint="eastAsia"/>
          <w:sz w:val="32"/>
          <w:szCs w:val="32"/>
        </w:rPr>
        <w:t>包装容器特点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配备包装</w:t>
      </w:r>
      <w:r w:rsidR="009D2D24" w:rsidRPr="00A24BDE">
        <w:rPr>
          <w:rFonts w:ascii="方正仿宋_GBK" w:eastAsia="方正仿宋_GBK" w:hAnsiTheme="minorEastAsia" w:hint="eastAsia"/>
          <w:sz w:val="32"/>
          <w:szCs w:val="32"/>
        </w:rPr>
        <w:t>瓶、盖等的</w:t>
      </w:r>
      <w:r w:rsidR="00D16BA1" w:rsidRPr="00A24BDE">
        <w:rPr>
          <w:rFonts w:ascii="方正仿宋_GBK" w:eastAsia="方正仿宋_GBK" w:hAnsiTheme="minorEastAsia" w:hint="eastAsia"/>
          <w:sz w:val="32"/>
          <w:szCs w:val="32"/>
        </w:rPr>
        <w:t>清洁消毒设施。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第十一条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与原料、半成品、成品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直接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接触</w:t>
      </w:r>
      <w:r w:rsidR="00CC4097" w:rsidRPr="00A24BDE">
        <w:rPr>
          <w:rFonts w:ascii="方正仿宋_GBK" w:eastAsia="方正仿宋_GBK" w:hAnsiTheme="minorEastAsia" w:hint="eastAsia"/>
          <w:sz w:val="32"/>
          <w:szCs w:val="32"/>
        </w:rPr>
        <w:t>的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设备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与用具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201EC3" w:rsidRPr="00A24BDE">
        <w:rPr>
          <w:rFonts w:ascii="方正仿宋_GBK" w:eastAsia="方正仿宋_GBK" w:hAnsiTheme="minorEastAsia" w:hint="eastAsia"/>
          <w:sz w:val="32"/>
          <w:szCs w:val="32"/>
        </w:rPr>
        <w:t>使用无毒、无味、抗腐蚀、不易脱落的材料制作，并应易于清洁和保养。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第十二条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应当根据生产需</w:t>
      </w:r>
      <w:r w:rsidR="00CC4097" w:rsidRPr="00A24BDE">
        <w:rPr>
          <w:rFonts w:ascii="方正仿宋_GBK" w:eastAsia="方正仿宋_GBK" w:hAnsiTheme="minorEastAsia" w:hint="eastAsia"/>
          <w:sz w:val="32"/>
          <w:szCs w:val="32"/>
        </w:rPr>
        <w:t>要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合理设计排水设施和废水处理设施，排水流向应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由清洁程度要求高的区域流向清洁程度要求低的区域，清洁作业区排水系统入口应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安装带水封的地漏，以防止固体废弃物进入及浊气逸出，并有防止废水逆流的设计。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第十三条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设置专门的废弃物存放设施，生产加工过程产生的废弃物应当妥善处理，并定期对废弃物处理设施的卫生状况进行检查。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第十四条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出厂检验设备应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符合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《食品安全国家标准 运动营养食品通则》（GB 24154）的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检测要求。</w:t>
      </w:r>
    </w:p>
    <w:p w:rsidR="00A24BDE" w:rsidRDefault="00A24BDE" w:rsidP="00A24BDE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A23234" w:rsidRPr="00A24BDE" w:rsidRDefault="00182AB2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第四</w:t>
      </w:r>
      <w:r w:rsidR="00567B2A" w:rsidRPr="00A24BDE">
        <w:rPr>
          <w:rFonts w:ascii="黑体" w:eastAsia="黑体" w:hAnsi="黑体" w:hint="eastAsia"/>
          <w:sz w:val="32"/>
          <w:szCs w:val="32"/>
        </w:rPr>
        <w:t xml:space="preserve">章 </w:t>
      </w:r>
      <w:r w:rsidRPr="00A24BDE">
        <w:rPr>
          <w:rFonts w:ascii="黑体" w:eastAsia="黑体" w:hAnsi="黑体" w:hint="eastAsia"/>
          <w:sz w:val="32"/>
          <w:szCs w:val="32"/>
        </w:rPr>
        <w:t>设备布局和工艺流程</w:t>
      </w:r>
    </w:p>
    <w:p w:rsidR="005A400A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bookmarkStart w:id="3" w:name="_Toc415228668"/>
      <w:r w:rsidRPr="00A24BDE">
        <w:rPr>
          <w:rFonts w:ascii="黑体" w:eastAsia="黑体" w:hAnsi="黑体" w:hint="eastAsia"/>
          <w:sz w:val="32"/>
          <w:szCs w:val="32"/>
        </w:rPr>
        <w:t>第十五条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生产设备的</w:t>
      </w:r>
      <w:r w:rsidR="00F86381" w:rsidRPr="00A24BDE">
        <w:rPr>
          <w:rFonts w:ascii="方正仿宋_GBK" w:eastAsia="方正仿宋_GBK" w:hAnsiTheme="minorEastAsia" w:hint="eastAsia"/>
          <w:sz w:val="32"/>
          <w:szCs w:val="32"/>
        </w:rPr>
        <w:t>布局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与产品</w:t>
      </w:r>
      <w:r w:rsidR="00CC34FF" w:rsidRPr="00A24BDE">
        <w:rPr>
          <w:rFonts w:ascii="方正仿宋_GBK" w:eastAsia="方正仿宋_GBK" w:hAnsiTheme="minorEastAsia" w:hint="eastAsia"/>
          <w:sz w:val="32"/>
          <w:szCs w:val="32"/>
        </w:rPr>
        <w:t>工艺流程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相符，</w:t>
      </w:r>
      <w:bookmarkEnd w:id="3"/>
      <w:r w:rsidR="00F86381" w:rsidRPr="00A24BDE">
        <w:rPr>
          <w:rFonts w:ascii="方正仿宋_GBK" w:eastAsia="方正仿宋_GBK" w:hAnsiTheme="minorEastAsia" w:hint="eastAsia"/>
          <w:sz w:val="32"/>
          <w:szCs w:val="32"/>
        </w:rPr>
        <w:t>避免</w:t>
      </w:r>
      <w:r w:rsidR="00CC34FF" w:rsidRPr="00A24BDE">
        <w:rPr>
          <w:rFonts w:ascii="方正仿宋_GBK" w:eastAsia="方正仿宋_GBK" w:hAnsiTheme="minorEastAsia" w:hint="eastAsia"/>
          <w:sz w:val="32"/>
          <w:szCs w:val="32"/>
        </w:rPr>
        <w:t>交叉污染</w:t>
      </w:r>
      <w:r w:rsidR="008D10EE" w:rsidRPr="00A24BDE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第十六条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002C27" w:rsidRPr="00A24BDE">
        <w:rPr>
          <w:rFonts w:ascii="方正仿宋_GBK" w:eastAsia="方正仿宋_GBK" w:hAnsiTheme="minorEastAsia" w:hint="eastAsia"/>
          <w:sz w:val="32"/>
          <w:szCs w:val="32"/>
        </w:rPr>
        <w:t>固态粉类运动营养食品包括湿法工艺和干法工艺。湿法工艺流程一般包括：原料验收、</w:t>
      </w:r>
      <w:r w:rsidR="001E417C" w:rsidRPr="00A24BDE">
        <w:rPr>
          <w:rFonts w:ascii="方正仿宋_GBK" w:eastAsia="方正仿宋_GBK" w:hAnsiTheme="minorEastAsia" w:hint="eastAsia"/>
          <w:sz w:val="32"/>
          <w:szCs w:val="32"/>
        </w:rPr>
        <w:t>配料和</w:t>
      </w:r>
      <w:r w:rsidR="00002C27" w:rsidRPr="00A24BDE">
        <w:rPr>
          <w:rFonts w:ascii="方正仿宋_GBK" w:eastAsia="方正仿宋_GBK" w:hAnsiTheme="minorEastAsia" w:hint="eastAsia"/>
          <w:sz w:val="32"/>
          <w:szCs w:val="32"/>
        </w:rPr>
        <w:t>调配、杀菌（浓缩）、脱水干燥、冷却、成型、异物控制、包装。干法工艺一般包括：原料验收、备料、混料、包装、异物控制。</w:t>
      </w:r>
    </w:p>
    <w:p w:rsidR="004205B3" w:rsidRPr="00A24BDE" w:rsidRDefault="008D10EE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固态块状、粒状运动营养食品生产</w:t>
      </w:r>
      <w:r w:rsidR="005A400A" w:rsidRPr="00A24BDE">
        <w:rPr>
          <w:rFonts w:ascii="方正仿宋_GBK" w:eastAsia="方正仿宋_GBK" w:hAnsiTheme="minorEastAsia" w:hint="eastAsia"/>
          <w:sz w:val="32"/>
          <w:szCs w:val="32"/>
        </w:rPr>
        <w:t>工艺</w:t>
      </w:r>
      <w:r w:rsidR="0092299D" w:rsidRPr="00A24BDE">
        <w:rPr>
          <w:rFonts w:ascii="方正仿宋_GBK" w:eastAsia="方正仿宋_GBK" w:hAnsiTheme="minorEastAsia" w:hint="eastAsia"/>
          <w:sz w:val="32"/>
          <w:szCs w:val="32"/>
        </w:rPr>
        <w:t>流程一般包括：原辅料验收、前处理、配料、混料、熟制、成型、干燥、冷却、包装。</w:t>
      </w:r>
    </w:p>
    <w:p w:rsidR="005A400A" w:rsidRPr="00A24BDE" w:rsidRDefault="0092299D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液态和半固态运动营养食品生产</w:t>
      </w:r>
      <w:r w:rsidR="005A400A" w:rsidRPr="00A24BDE">
        <w:rPr>
          <w:rFonts w:ascii="方正仿宋_GBK" w:eastAsia="方正仿宋_GBK" w:hAnsiTheme="minorEastAsia" w:hint="eastAsia"/>
          <w:sz w:val="32"/>
          <w:szCs w:val="32"/>
        </w:rPr>
        <w:t>工艺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流程一般包括：原料预处理、配料、调配（或不调配）、</w:t>
      </w:r>
      <w:r w:rsidR="005A400A" w:rsidRPr="00A24BDE">
        <w:rPr>
          <w:rFonts w:ascii="方正仿宋_GBK" w:eastAsia="方正仿宋_GBK" w:hAnsiTheme="minorEastAsia" w:hint="eastAsia"/>
          <w:sz w:val="32"/>
          <w:szCs w:val="32"/>
        </w:rPr>
        <w:t>溶胶/</w:t>
      </w:r>
      <w:r w:rsidR="00CC34FF" w:rsidRPr="00A24BDE">
        <w:rPr>
          <w:rFonts w:ascii="方正仿宋_GBK" w:eastAsia="方正仿宋_GBK" w:hAnsiTheme="minorEastAsia" w:hint="eastAsia"/>
          <w:sz w:val="32"/>
          <w:szCs w:val="32"/>
        </w:rPr>
        <w:t>煮料</w:t>
      </w:r>
      <w:r w:rsidR="005A400A" w:rsidRPr="00A24BDE">
        <w:rPr>
          <w:rFonts w:ascii="方正仿宋_GBK" w:eastAsia="方正仿宋_GBK" w:hAnsiTheme="minorEastAsia" w:hint="eastAsia"/>
          <w:sz w:val="32"/>
          <w:szCs w:val="32"/>
        </w:rPr>
        <w:t>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均质（或不均质）、杀菌、</w:t>
      </w:r>
      <w:r w:rsidR="00AF5B65" w:rsidRPr="00A24BDE">
        <w:rPr>
          <w:rFonts w:ascii="方正仿宋_GBK" w:eastAsia="方正仿宋_GBK" w:hAnsiTheme="minorEastAsia" w:hint="eastAsia"/>
          <w:sz w:val="32"/>
          <w:szCs w:val="32"/>
        </w:rPr>
        <w:t>过滤澄清、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灌装封盖（口）、</w:t>
      </w:r>
      <w:r w:rsidR="00053287" w:rsidRPr="00A24BDE">
        <w:rPr>
          <w:rFonts w:ascii="方正仿宋_GBK" w:eastAsia="方正仿宋_GBK" w:hAnsiTheme="minorEastAsia" w:hint="eastAsia"/>
          <w:sz w:val="32"/>
          <w:szCs w:val="32"/>
        </w:rPr>
        <w:t>后杀菌或不杀菌</w:t>
      </w:r>
      <w:r w:rsidR="005A400A" w:rsidRPr="00A24BDE">
        <w:rPr>
          <w:rFonts w:ascii="方正仿宋_GBK" w:eastAsia="方正仿宋_GBK" w:hAnsiTheme="minorEastAsia" w:hint="eastAsia"/>
          <w:sz w:val="32"/>
          <w:szCs w:val="32"/>
        </w:rPr>
        <w:t>、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灯检（或自动监测）等。</w:t>
      </w:r>
    </w:p>
    <w:p w:rsidR="001D57CA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第十七条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通过危害分析方法明确生产过程中的食品安全关键环节，</w:t>
      </w:r>
      <w:r w:rsidR="001D57CA" w:rsidRPr="00A24BDE">
        <w:rPr>
          <w:rFonts w:ascii="方正仿宋_GBK" w:eastAsia="方正仿宋_GBK" w:hAnsiTheme="minorEastAsia" w:hint="eastAsia"/>
          <w:sz w:val="32"/>
          <w:szCs w:val="32"/>
        </w:rPr>
        <w:t>进行</w:t>
      </w:r>
      <w:r w:rsidR="004B10A3" w:rsidRPr="00A24BDE">
        <w:rPr>
          <w:rFonts w:ascii="方正仿宋_GBK" w:eastAsia="方正仿宋_GBK" w:hAnsiTheme="minorEastAsia" w:hint="eastAsia"/>
          <w:sz w:val="32"/>
          <w:szCs w:val="32"/>
        </w:rPr>
        <w:t>有效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监控</w:t>
      </w:r>
      <w:r w:rsidR="001D57CA" w:rsidRPr="00A24BDE">
        <w:rPr>
          <w:rFonts w:ascii="方正仿宋_GBK" w:eastAsia="方正仿宋_GBK" w:hAnsiTheme="minorEastAsia" w:hint="eastAsia"/>
          <w:sz w:val="32"/>
          <w:szCs w:val="32"/>
        </w:rPr>
        <w:t>并记录各项</w:t>
      </w:r>
      <w:r w:rsidR="002512B6" w:rsidRPr="00A24BDE">
        <w:rPr>
          <w:rFonts w:ascii="方正仿宋_GBK" w:eastAsia="方正仿宋_GBK" w:hAnsiTheme="minorEastAsia" w:hint="eastAsia"/>
          <w:sz w:val="32"/>
          <w:szCs w:val="32"/>
        </w:rPr>
        <w:t>控制</w:t>
      </w:r>
      <w:r w:rsidR="001D57CA" w:rsidRPr="00A24BDE">
        <w:rPr>
          <w:rFonts w:ascii="方正仿宋_GBK" w:eastAsia="方正仿宋_GBK" w:hAnsiTheme="minorEastAsia" w:hint="eastAsia"/>
          <w:sz w:val="32"/>
          <w:szCs w:val="32"/>
        </w:rPr>
        <w:t>指标。</w:t>
      </w:r>
    </w:p>
    <w:p w:rsidR="001D57CA" w:rsidRPr="00A24BDE" w:rsidRDefault="001D57CA" w:rsidP="00A24BD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有配料调配工序的，应</w:t>
      </w:r>
      <w:r w:rsidR="006148C4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监控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并记录投料种类、数量以及投料顺序；原辅料投入输送系统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有适宜过滤除杂措施；根据生产工艺要求，进行搅拌、加热、保温等操作的，应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监控和记录相关工艺参数。</w:t>
      </w:r>
    </w:p>
    <w:p w:rsidR="001D57CA" w:rsidRPr="00A24BDE" w:rsidRDefault="001D57CA" w:rsidP="00A24BD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有杀菌工序的，应当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严格监控影响杀菌效果的工艺参数（如杀菌温度、时间等）并记录，对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杀菌效果进行监控并记录。</w:t>
      </w:r>
    </w:p>
    <w:p w:rsidR="004D2794" w:rsidRPr="00A24BDE" w:rsidRDefault="004D2794" w:rsidP="00A24BD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灌装封盖（口）时，在产品灌装前应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设置异物控制措施，并控制灌装温度、灌装量；封盖（口）应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确保产品密封。灌装封盖（口）后应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对产品的外观、灌装量、容器状况进行检查。</w:t>
      </w:r>
    </w:p>
    <w:p w:rsidR="009F6329" w:rsidRPr="00A24BDE" w:rsidRDefault="00043560" w:rsidP="00A24BD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水处理工艺应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规定水处理过滤装置的清洗更换要求，制定</w:t>
      </w:r>
      <w:r w:rsidR="00517DE4" w:rsidRPr="00A24BDE">
        <w:rPr>
          <w:rFonts w:ascii="方正仿宋_GBK" w:eastAsia="方正仿宋_GBK" w:hAnsiTheme="minorEastAsia" w:hint="eastAsia"/>
          <w:sz w:val="32"/>
          <w:szCs w:val="32"/>
        </w:rPr>
        <w:t>水处理工艺监测指标并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记录。</w:t>
      </w:r>
    </w:p>
    <w:p w:rsidR="00A24BDE" w:rsidRDefault="00A24BDE" w:rsidP="00A24BDE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A23234" w:rsidRPr="00A24BDE" w:rsidRDefault="00182AB2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第五</w:t>
      </w:r>
      <w:r w:rsidR="00567B2A" w:rsidRPr="00A24BDE">
        <w:rPr>
          <w:rFonts w:ascii="黑体" w:eastAsia="黑体" w:hAnsi="黑体" w:hint="eastAsia"/>
          <w:sz w:val="32"/>
          <w:szCs w:val="32"/>
        </w:rPr>
        <w:t>章</w:t>
      </w:r>
      <w:r w:rsidRPr="00A24BDE">
        <w:rPr>
          <w:rFonts w:ascii="黑体" w:eastAsia="黑体" w:hAnsi="黑体" w:hint="eastAsia"/>
          <w:sz w:val="32"/>
          <w:szCs w:val="32"/>
        </w:rPr>
        <w:t xml:space="preserve"> 人员核查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第十八条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食品安全管理人员、食品安全专业技术人员、检验人员、生产人员必须取得健康合格证明后方可上岗工作，每年至少进行一次健康检查。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第十九条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企业应当每年制定员工培训计划，按照计划开展培训，并有相关的培训</w:t>
      </w:r>
      <w:r w:rsidR="008D6116" w:rsidRPr="00A24BDE">
        <w:rPr>
          <w:rFonts w:ascii="方正仿宋_GBK" w:eastAsia="方正仿宋_GBK" w:hAnsiTheme="minorEastAsia" w:hint="eastAsia"/>
          <w:sz w:val="32"/>
          <w:szCs w:val="32"/>
        </w:rPr>
        <w:t>及考核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记录。食品安全管理人员上岗前应当经过培训，并考核合格。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第二十条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具备具有相关专业和经验的研发人员、检验人员、生产管理人员与技术人员。企业质量负责人和食品安全管理人员，应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有食品或相关专业本科以上学历，并具有3年以上食品工作经历。生产管理人员、技术人员应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有食品或相关专业专科以上学历，并具有3年以上相关工作经历。研发人员应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有食品、营养或相关专业本科以上学历，掌握食品工艺、营养和质量安全等相关专业知识。从事产品检测的人员应</w:t>
      </w:r>
      <w:r w:rsidR="0072567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具有食品、化学或相关专业专科以上的学历，或者具有5年以上食品检测工作经历，经过专业培训，考核合格。</w:t>
      </w:r>
    </w:p>
    <w:p w:rsidR="00A24BDE" w:rsidRDefault="00A24BDE" w:rsidP="00A24BDE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A23234" w:rsidRPr="00A24BDE" w:rsidRDefault="00182AB2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第六</w:t>
      </w:r>
      <w:r w:rsidR="00567B2A" w:rsidRPr="00A24BDE">
        <w:rPr>
          <w:rFonts w:ascii="黑体" w:eastAsia="黑体" w:hAnsi="黑体" w:hint="eastAsia"/>
          <w:sz w:val="32"/>
          <w:szCs w:val="32"/>
        </w:rPr>
        <w:t xml:space="preserve">章 </w:t>
      </w:r>
      <w:r w:rsidRPr="00A24BDE">
        <w:rPr>
          <w:rFonts w:ascii="黑体" w:eastAsia="黑体" w:hAnsi="黑体" w:hint="eastAsia"/>
          <w:sz w:val="32"/>
          <w:szCs w:val="32"/>
        </w:rPr>
        <w:t>管理制度审查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第二十一条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建立进货查验记录制度。</w:t>
      </w:r>
      <w:r w:rsidR="00BC5679" w:rsidRPr="00A24BDE">
        <w:rPr>
          <w:rFonts w:ascii="方正仿宋_GBK" w:eastAsia="方正仿宋_GBK" w:hAnsiTheme="minorEastAsia" w:hint="eastAsia"/>
          <w:sz w:val="32"/>
          <w:szCs w:val="32"/>
        </w:rPr>
        <w:t>所用原料不得使用世界反兴奋剂机构禁用物质；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使用既是食品又是药品的物品、</w:t>
      </w:r>
      <w:hyperlink r:id="rId10" w:tgtFrame="_blank" w:history="1">
        <w:r w:rsidR="00182AB2" w:rsidRPr="00A24BDE">
          <w:rPr>
            <w:rFonts w:ascii="方正仿宋_GBK" w:eastAsia="方正仿宋_GBK" w:hAnsiTheme="minorEastAsia" w:hint="eastAsia"/>
            <w:sz w:val="32"/>
            <w:szCs w:val="32"/>
          </w:rPr>
          <w:t>新食品原料</w:t>
        </w:r>
      </w:hyperlink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的要对供应商的上游原料、生产环境和生产工艺可能带入的风险进行评估与控制。运动营养食品生产所需的原辅料及包材须符合相应的国家法律法规、标准及相关部门公告的要求。</w:t>
      </w:r>
    </w:p>
    <w:p w:rsidR="004205B3" w:rsidRPr="00A24BDE" w:rsidRDefault="00182AB2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制定主要原料供应商的管理制度、审核制度。对乳清蛋白、大豆蛋白、低聚糖、果糖、肽类等主要原料及食品营养强化剂供应商的审核内容至少包括：供应商的住所、资质证明文件、质量安全标准、检验报告、原辅料采购控制能力、生产过程控制能力、设备设施条件、检验能力、不合格品管控能力，鼓励</w:t>
      </w:r>
      <w:r w:rsidR="00BC5679" w:rsidRPr="00A24BDE">
        <w:rPr>
          <w:rFonts w:ascii="方正仿宋_GBK" w:eastAsia="方正仿宋_GBK" w:hAnsiTheme="minorEastAsia" w:hint="eastAsia"/>
          <w:sz w:val="32"/>
          <w:szCs w:val="32"/>
        </w:rPr>
        <w:t>生产企业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对主要原辅料供应商的质量管理体系进行评价，并形成质量审核报告。</w:t>
      </w:r>
    </w:p>
    <w:p w:rsidR="00A23234" w:rsidRPr="00A24BDE" w:rsidRDefault="00182AB2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采用进口原辅料的生产企业，应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审核进口原辅料供应商、贸易商的资质证明文件、质量标准、每批原辅料提供海关出具的合格证明材料。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第二十二条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建立生产过程管理制度，对生产过程中关键控制环节的质量安全进行管控。应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制定清场管理制度。各生产工序在生产结束后、更换品种或批次前，应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对现场进行清场并进行记录。清场工作包括剩余物料的处理，中间品、成品的处理，废弃物的处理，生产用具的处理,外包工序的清场。记录内容包括：工序、品名、生产批次、清场时间、检查项目及结果等，清场负责人及复查人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在记录上签名，同时对清场的结果进行物料平衡的验证。</w:t>
      </w:r>
    </w:p>
    <w:p w:rsidR="004205B3" w:rsidRPr="00A24BDE" w:rsidRDefault="00182AB2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制定清洁管理制度。各生产工序在生产结束后、下次生产前，对车间环境、设备设施、工服和人员进行清洁、验证并记录。记录内容包括：清洁对象、清洁方式、清洁时间、效果确认等。</w:t>
      </w:r>
    </w:p>
    <w:p w:rsidR="00A23234" w:rsidRPr="00A24BDE" w:rsidRDefault="00182AB2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制定食品添加剂使用</w:t>
      </w:r>
      <w:r w:rsidR="008D6116" w:rsidRPr="00A24BDE">
        <w:rPr>
          <w:rFonts w:ascii="方正仿宋_GBK" w:eastAsia="方正仿宋_GBK" w:hAnsiTheme="minorEastAsia" w:hint="eastAsia"/>
          <w:sz w:val="32"/>
          <w:szCs w:val="32"/>
        </w:rPr>
        <w:t>管理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制度。运动营养食品生产过程中食品添加剂的使用应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符合《食品安全国家标准 食品添加使用标准》（GB 2760）中允许使用的食品添加剂种类和</w:t>
      </w:r>
      <w:r w:rsidR="008D6116" w:rsidRPr="00A24BDE">
        <w:rPr>
          <w:rFonts w:ascii="方正仿宋_GBK" w:eastAsia="方正仿宋_GBK" w:hAnsiTheme="minorEastAsia" w:hint="eastAsia"/>
          <w:sz w:val="32"/>
          <w:szCs w:val="32"/>
        </w:rPr>
        <w:t>添加量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第二十三条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应当建立出厂检验记录制度，产品出厂检验应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依据产品执行标准规定的所有检验项目进行逐批检验。自行检验的，应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8D6116" w:rsidRPr="00A24BDE">
        <w:rPr>
          <w:rFonts w:ascii="方正仿宋_GBK" w:eastAsia="方正仿宋_GBK" w:hAnsiTheme="minorEastAsia" w:hint="eastAsia"/>
          <w:sz w:val="32"/>
          <w:szCs w:val="32"/>
        </w:rPr>
        <w:t>定期与具有合法资质的检验机构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对出厂项目进行能力比对</w:t>
      </w:r>
      <w:r w:rsidR="008D6116" w:rsidRPr="00A24BDE">
        <w:rPr>
          <w:rFonts w:ascii="方正仿宋_GBK" w:eastAsia="方正仿宋_GBK" w:hAnsiTheme="minorEastAsia" w:hint="eastAsia"/>
          <w:sz w:val="32"/>
          <w:szCs w:val="32"/>
        </w:rPr>
        <w:t>或验证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，并符合相应</w:t>
      </w:r>
      <w:r w:rsidR="008D6116" w:rsidRPr="00A24BDE">
        <w:rPr>
          <w:rFonts w:ascii="方正仿宋_GBK" w:eastAsia="方正仿宋_GBK" w:hAnsiTheme="minorEastAsia" w:hint="eastAsia"/>
          <w:sz w:val="32"/>
          <w:szCs w:val="32"/>
        </w:rPr>
        <w:t>的检验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要求；不能自行检验的，应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委托具有合法资质的检验机构进行检验，并出具检验报告。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第二十四条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应</w:t>
      </w:r>
      <w:r w:rsidR="00DD50AA" w:rsidRPr="00A24BDE">
        <w:rPr>
          <w:rFonts w:ascii="方正仿宋_GBK" w:eastAsia="方正仿宋_GBK" w:hAnsiTheme="minorEastAsia" w:hint="eastAsia"/>
          <w:sz w:val="32"/>
          <w:szCs w:val="32"/>
        </w:rPr>
        <w:t>当制订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研发管理制度，并配备研发人员。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（1）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研发部门应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具备研发的能力并制定完善的研发制度及流程；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（2）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研发部门对新产品的研发，应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包括对产品合规性、生产工艺、质量安全和营养方面的综合论证，产品配方应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保证运动人群的安全，满足营养需要，并保留完整的论证文件等资料。</w:t>
      </w:r>
    </w:p>
    <w:p w:rsidR="004205B3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（3）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企业应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对产品配方及维生素、微量元素等营养素的均匀性、稳定性、安全性进行跟踪评价并提供相应评价报告。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（4）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企业应当建立产品配方管理制度，列明配方中使用的食品添加剂、食品营养强化剂使用依据和规定使用量；所使用的食品添加剂、食品营养强化剂应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符合相应产品标准及国务院卫生行政部门相关公告的规定。</w:t>
      </w:r>
    </w:p>
    <w:p w:rsidR="00A24BDE" w:rsidRDefault="00A24BDE" w:rsidP="00A24BDE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A23234" w:rsidRPr="00A24BDE" w:rsidRDefault="00182AB2" w:rsidP="00A24BDE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第七</w:t>
      </w:r>
      <w:r w:rsidR="00567B2A" w:rsidRPr="00A24BDE">
        <w:rPr>
          <w:rFonts w:ascii="黑体" w:eastAsia="黑体" w:hAnsi="黑体" w:hint="eastAsia"/>
          <w:sz w:val="32"/>
          <w:szCs w:val="32"/>
        </w:rPr>
        <w:t xml:space="preserve">章 </w:t>
      </w:r>
      <w:r w:rsidRPr="00A24BDE">
        <w:rPr>
          <w:rFonts w:ascii="黑体" w:eastAsia="黑体" w:hAnsi="黑体" w:hint="eastAsia"/>
          <w:sz w:val="32"/>
          <w:szCs w:val="32"/>
        </w:rPr>
        <w:t>试制产品检验</w:t>
      </w:r>
    </w:p>
    <w:p w:rsidR="00A23234" w:rsidRPr="00A24BDE" w:rsidRDefault="004205B3" w:rsidP="00A24BDE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第二十五条</w:t>
      </w:r>
      <w:r w:rsidRPr="00A24BDE">
        <w:rPr>
          <w:rFonts w:asciiTheme="minorEastAsia" w:hAnsiTheme="minorEastAsia" w:hint="eastAsia"/>
          <w:sz w:val="32"/>
          <w:szCs w:val="32"/>
        </w:rPr>
        <w:t xml:space="preserve"> 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企业所申报运动营养食品的产品，提供试制食品的检验合格报告，检验项目应</w:t>
      </w:r>
      <w:r w:rsidR="00C7032C" w:rsidRPr="00A24BDE">
        <w:rPr>
          <w:rFonts w:ascii="方正仿宋_GBK" w:eastAsia="方正仿宋_GBK" w:hAnsiTheme="minorEastAsia" w:hint="eastAsia"/>
          <w:sz w:val="32"/>
          <w:szCs w:val="32"/>
        </w:rPr>
        <w:t>当</w:t>
      </w:r>
      <w:r w:rsidR="00182AB2" w:rsidRPr="00A24BDE">
        <w:rPr>
          <w:rFonts w:ascii="方正仿宋_GBK" w:eastAsia="方正仿宋_GBK" w:hAnsiTheme="minorEastAsia" w:hint="eastAsia"/>
          <w:sz w:val="32"/>
          <w:szCs w:val="32"/>
        </w:rPr>
        <w:t>包含《食品安全国家标准运动营养食品通则》（GB 24154）标准以及企业标准、法律法规及相关部门公告规定的全部项目。</w:t>
      </w:r>
    </w:p>
    <w:p w:rsidR="00810BCD" w:rsidRPr="00A24BDE" w:rsidRDefault="00810BCD" w:rsidP="00A24BDE">
      <w:pPr>
        <w:widowControl/>
        <w:adjustRightInd w:val="0"/>
        <w:snapToGrid w:val="0"/>
        <w:spacing w:line="600" w:lineRule="exact"/>
        <w:jc w:val="left"/>
        <w:rPr>
          <w:rFonts w:asciiTheme="minorEastAsia" w:hAnsiTheme="minorEastAsia"/>
          <w:sz w:val="32"/>
          <w:szCs w:val="32"/>
        </w:rPr>
      </w:pPr>
    </w:p>
    <w:p w:rsidR="00567B2A" w:rsidRPr="00A24BDE" w:rsidRDefault="00567B2A" w:rsidP="00A24BD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第八章 附则</w:t>
      </w:r>
    </w:p>
    <w:p w:rsidR="00567B2A" w:rsidRPr="00A24BDE" w:rsidRDefault="00567B2A" w:rsidP="00A24BD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</w:t>
      </w:r>
      <w:r w:rsidR="004205B3" w:rsidRPr="00A24BDE">
        <w:rPr>
          <w:rFonts w:ascii="黑体" w:eastAsia="黑体" w:hAnsi="黑体" w:hint="eastAsia"/>
          <w:sz w:val="32"/>
          <w:szCs w:val="32"/>
        </w:rPr>
        <w:t>二十六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本细则由江苏省市场监督管理局负责解释。</w:t>
      </w:r>
    </w:p>
    <w:p w:rsidR="00A24BDE" w:rsidRDefault="00567B2A" w:rsidP="00A24BD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黑体" w:eastAsia="黑体" w:hAnsi="黑体" w:hint="eastAsia"/>
          <w:sz w:val="32"/>
          <w:szCs w:val="32"/>
        </w:rPr>
        <w:t>第</w:t>
      </w:r>
      <w:r w:rsidR="004205B3" w:rsidRPr="00A24BDE">
        <w:rPr>
          <w:rFonts w:ascii="黑体" w:eastAsia="黑体" w:hAnsi="黑体" w:hint="eastAsia"/>
          <w:sz w:val="32"/>
          <w:szCs w:val="32"/>
        </w:rPr>
        <w:t>二十七</w:t>
      </w:r>
      <w:r w:rsidRPr="00A24BDE">
        <w:rPr>
          <w:rFonts w:ascii="黑体" w:eastAsia="黑体" w:hAnsi="黑体" w:hint="eastAsia"/>
          <w:sz w:val="32"/>
          <w:szCs w:val="32"/>
        </w:rPr>
        <w:t>条</w:t>
      </w:r>
      <w:r w:rsidRPr="00A24BD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BDE">
        <w:rPr>
          <w:rFonts w:ascii="方正仿宋_GBK" w:eastAsia="方正仿宋_GBK" w:hAnsiTheme="minorEastAsia" w:hint="eastAsia"/>
          <w:sz w:val="32"/>
          <w:szCs w:val="32"/>
        </w:rPr>
        <w:t>本细则自发布之日起施行。</w:t>
      </w:r>
    </w:p>
    <w:p w:rsidR="00A24BDE" w:rsidRDefault="00A24BDE" w:rsidP="00A24BD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</w:p>
    <w:p w:rsidR="00A24BDE" w:rsidRDefault="00182AB2" w:rsidP="00A24BD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附件：1.</w:t>
      </w:r>
      <w:r w:rsidRPr="00A24BDE" w:rsidDel="00182AB2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="007071DF" w:rsidRPr="00A24BDE">
        <w:rPr>
          <w:rFonts w:ascii="方正仿宋_GBK" w:eastAsia="方正仿宋_GBK" w:hAnsiTheme="minorEastAsia" w:hint="eastAsia"/>
          <w:sz w:val="32"/>
          <w:szCs w:val="32"/>
        </w:rPr>
        <w:t>运动营养食品生产车间作业区划分表</w:t>
      </w:r>
    </w:p>
    <w:p w:rsidR="00A23234" w:rsidRPr="00A24BDE" w:rsidRDefault="00182AB2" w:rsidP="00A24BDE">
      <w:pPr>
        <w:widowControl/>
        <w:adjustRightInd w:val="0"/>
        <w:snapToGrid w:val="0"/>
        <w:spacing w:line="600" w:lineRule="exact"/>
        <w:ind w:leftChars="760" w:left="2076" w:hangingChars="150" w:hanging="480"/>
        <w:jc w:val="left"/>
        <w:rPr>
          <w:rFonts w:ascii="方正仿宋_GBK" w:eastAsia="方正仿宋_GBK" w:hAnsiTheme="minorEastAsia"/>
          <w:sz w:val="32"/>
          <w:szCs w:val="32"/>
        </w:rPr>
      </w:pPr>
      <w:r w:rsidRPr="00A24BDE">
        <w:rPr>
          <w:rFonts w:ascii="方正仿宋_GBK" w:eastAsia="方正仿宋_GBK" w:hAnsiTheme="minorEastAsia" w:hint="eastAsia"/>
          <w:sz w:val="32"/>
          <w:szCs w:val="32"/>
        </w:rPr>
        <w:t>2.</w:t>
      </w:r>
      <w:r w:rsidRPr="00A24BDE" w:rsidDel="00182AB2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bookmarkStart w:id="4" w:name="_Toc1540"/>
      <w:bookmarkEnd w:id="4"/>
      <w:r w:rsidR="00FB77CB" w:rsidRPr="00A24BDE">
        <w:rPr>
          <w:rFonts w:ascii="方正仿宋_GBK" w:eastAsia="方正仿宋_GBK" w:hAnsiTheme="minorEastAsia" w:hint="eastAsia"/>
          <w:sz w:val="32"/>
          <w:szCs w:val="32"/>
        </w:rPr>
        <w:t>清洁作业区空气洁净度监测控制要求一览表标准控制表</w:t>
      </w:r>
    </w:p>
    <w:p w:rsidR="003773A3" w:rsidRDefault="003773A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B77CB" w:rsidRPr="004A0F5F" w:rsidRDefault="00FB77CB" w:rsidP="00FB77CB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A0F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附件1 运动营养食品生产车间作业区划分表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2268"/>
        <w:gridCol w:w="2835"/>
        <w:gridCol w:w="2268"/>
      </w:tblGrid>
      <w:tr w:rsidR="00FB77CB" w:rsidRPr="00583DBD" w:rsidTr="00DD50AA">
        <w:trPr>
          <w:trHeight w:val="518"/>
        </w:trPr>
        <w:tc>
          <w:tcPr>
            <w:tcW w:w="710" w:type="dxa"/>
            <w:vAlign w:val="center"/>
          </w:tcPr>
          <w:p w:rsidR="00FB77CB" w:rsidRPr="00FB77CB" w:rsidRDefault="00FB77CB" w:rsidP="00FB77CB">
            <w:pPr>
              <w:pStyle w:val="a6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产品形态</w:t>
            </w:r>
          </w:p>
        </w:tc>
        <w:tc>
          <w:tcPr>
            <w:tcW w:w="2268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清洁作业区</w:t>
            </w:r>
          </w:p>
        </w:tc>
        <w:tc>
          <w:tcPr>
            <w:tcW w:w="2835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准清洁作业区</w:t>
            </w:r>
          </w:p>
        </w:tc>
        <w:tc>
          <w:tcPr>
            <w:tcW w:w="2268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一般作业区</w:t>
            </w:r>
          </w:p>
        </w:tc>
      </w:tr>
      <w:tr w:rsidR="00FB77CB" w:rsidRPr="00583DBD" w:rsidTr="00DD50AA">
        <w:trPr>
          <w:trHeight w:val="1059"/>
        </w:trPr>
        <w:tc>
          <w:tcPr>
            <w:tcW w:w="710" w:type="dxa"/>
            <w:vAlign w:val="center"/>
          </w:tcPr>
          <w:p w:rsidR="00FB77CB" w:rsidRPr="00FB77CB" w:rsidRDefault="00FB77CB" w:rsidP="00FB77CB">
            <w:pPr>
              <w:pStyle w:val="a6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液态类</w:t>
            </w:r>
          </w:p>
        </w:tc>
        <w:tc>
          <w:tcPr>
            <w:tcW w:w="2268" w:type="dxa"/>
            <w:vAlign w:val="center"/>
          </w:tcPr>
          <w:p w:rsidR="00FB77CB" w:rsidRPr="00FB77CB" w:rsidRDefault="00FB77CB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灌装车间（限无菌灌装）、包材消毒清洁间（限无菌灌装）</w:t>
            </w:r>
          </w:p>
        </w:tc>
        <w:tc>
          <w:tcPr>
            <w:tcW w:w="2835" w:type="dxa"/>
            <w:vAlign w:val="center"/>
          </w:tcPr>
          <w:p w:rsidR="00FB77CB" w:rsidRPr="00FB77CB" w:rsidRDefault="00FB77CB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原料加工处理车间、配料混合车间、洗瓶（罐）车间、灌装车间（非无菌灌装）、包材消毒清洁间（非无菌灌装）、杀菌车间（非无菌灌装）、冷却车间、其他加工车间</w:t>
            </w:r>
          </w:p>
        </w:tc>
        <w:tc>
          <w:tcPr>
            <w:tcW w:w="2268" w:type="dxa"/>
            <w:vAlign w:val="center"/>
          </w:tcPr>
          <w:p w:rsidR="002C6F5D" w:rsidRPr="00FB77CB" w:rsidRDefault="00C002C8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C002C8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原辅料、包装材料、成品仓库及外包装间</w:t>
            </w:r>
          </w:p>
        </w:tc>
      </w:tr>
      <w:tr w:rsidR="00FB77CB" w:rsidRPr="00583DBD" w:rsidTr="00DD50AA">
        <w:trPr>
          <w:trHeight w:val="1059"/>
        </w:trPr>
        <w:tc>
          <w:tcPr>
            <w:tcW w:w="710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固态类</w:t>
            </w:r>
          </w:p>
        </w:tc>
        <w:tc>
          <w:tcPr>
            <w:tcW w:w="2268" w:type="dxa"/>
            <w:vAlign w:val="center"/>
          </w:tcPr>
          <w:p w:rsidR="00FB77CB" w:rsidRPr="00FB77CB" w:rsidRDefault="00FB77CB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配料、混料车间（干法工艺）、成型车间、冷却车间、半成品暂存间、包材消毒清洁间、内包装车间等</w:t>
            </w:r>
          </w:p>
        </w:tc>
        <w:tc>
          <w:tcPr>
            <w:tcW w:w="2835" w:type="dxa"/>
            <w:vAlign w:val="center"/>
          </w:tcPr>
          <w:p w:rsidR="00FB77CB" w:rsidRPr="00FB77CB" w:rsidRDefault="00FB77CB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原料加工处理车间、配料、混料车间（湿法工艺）、干燥车间或膨化车间、烘烤车间、原辅料外包装清洁间、其他加工车间</w:t>
            </w:r>
          </w:p>
        </w:tc>
        <w:tc>
          <w:tcPr>
            <w:tcW w:w="2268" w:type="dxa"/>
            <w:vAlign w:val="center"/>
          </w:tcPr>
          <w:p w:rsidR="002C6F5D" w:rsidRPr="002C6F5D" w:rsidRDefault="00C002C8" w:rsidP="002C6F5D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b/>
                <w:color w:val="FF0000"/>
                <w:kern w:val="2"/>
                <w:sz w:val="21"/>
                <w:szCs w:val="21"/>
              </w:rPr>
            </w:pPr>
            <w:r w:rsidRPr="00C002C8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原辅料、包装材料、成品仓库及外包装间</w:t>
            </w:r>
          </w:p>
        </w:tc>
      </w:tr>
      <w:tr w:rsidR="00FB77CB" w:rsidRPr="00583DBD" w:rsidTr="00DD50AA">
        <w:trPr>
          <w:trHeight w:val="1059"/>
        </w:trPr>
        <w:tc>
          <w:tcPr>
            <w:tcW w:w="710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B77CB" w:rsidRPr="00FB77CB" w:rsidRDefault="00FB77CB" w:rsidP="00FB77CB">
            <w:pPr>
              <w:pStyle w:val="a6"/>
              <w:wordWrap w:val="0"/>
              <w:spacing w:line="375" w:lineRule="atLeas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半固态</w:t>
            </w:r>
          </w:p>
        </w:tc>
        <w:tc>
          <w:tcPr>
            <w:tcW w:w="2268" w:type="dxa"/>
            <w:vAlign w:val="center"/>
          </w:tcPr>
          <w:p w:rsidR="00FB77CB" w:rsidRPr="00FB77CB" w:rsidRDefault="00FB77CB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灌装车间（后杀菌工艺可</w:t>
            </w:r>
            <w:r w:rsidR="00C7032C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以</w:t>
            </w: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设立在准清洁区）</w:t>
            </w:r>
          </w:p>
        </w:tc>
        <w:tc>
          <w:tcPr>
            <w:tcW w:w="2835" w:type="dxa"/>
            <w:vAlign w:val="center"/>
          </w:tcPr>
          <w:p w:rsidR="00FB77CB" w:rsidRPr="00FB77CB" w:rsidRDefault="00FB77CB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B77CB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原料加工处理车间、配料混合车间、洗瓶（罐）车间、灌装车间、包材消毒清洁间、杀菌车间、冷却车间、其他加工车间</w:t>
            </w:r>
          </w:p>
        </w:tc>
        <w:tc>
          <w:tcPr>
            <w:tcW w:w="2268" w:type="dxa"/>
            <w:vAlign w:val="center"/>
          </w:tcPr>
          <w:p w:rsidR="002C6F5D" w:rsidRPr="00FB77CB" w:rsidRDefault="00C002C8" w:rsidP="00DD50AA">
            <w:pPr>
              <w:pStyle w:val="a6"/>
              <w:wordWrap w:val="0"/>
              <w:spacing w:line="375" w:lineRule="atLeast"/>
              <w:ind w:firstLine="48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C002C8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原辅料、包装材料、成品仓库及外包装间</w:t>
            </w:r>
          </w:p>
        </w:tc>
      </w:tr>
    </w:tbl>
    <w:p w:rsidR="00FB77CB" w:rsidRDefault="00FB77CB" w:rsidP="00FB77CB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3773A3" w:rsidRDefault="003773A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36958" w:rsidRPr="004A0F5F" w:rsidRDefault="00182AB2" w:rsidP="00E36958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A0F5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附件2</w:t>
      </w:r>
      <w:r w:rsidR="00E36958" w:rsidRPr="004A0F5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清洁作业区空气洁净度监测控制要求一览表标准控制表</w:t>
      </w:r>
    </w:p>
    <w:tbl>
      <w:tblPr>
        <w:tblStyle w:val="a7"/>
        <w:tblW w:w="89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8"/>
        <w:gridCol w:w="1961"/>
        <w:gridCol w:w="1961"/>
        <w:gridCol w:w="1797"/>
        <w:gridCol w:w="1961"/>
      </w:tblGrid>
      <w:tr w:rsidR="00E36958" w:rsidRPr="00E36958" w:rsidTr="00E36958">
        <w:trPr>
          <w:trHeight w:val="468"/>
        </w:trPr>
        <w:tc>
          <w:tcPr>
            <w:tcW w:w="1308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  <w:t>检测方法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Cs w:val="21"/>
              </w:rPr>
              <w:t>控制要求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b/>
                <w:color w:val="000000" w:themeColor="text1"/>
                <w:szCs w:val="21"/>
              </w:rPr>
              <w:t>监控频次</w:t>
            </w:r>
          </w:p>
        </w:tc>
      </w:tr>
      <w:tr w:rsidR="00E36958" w:rsidRPr="00E36958" w:rsidTr="00E36958">
        <w:trPr>
          <w:trHeight w:val="416"/>
        </w:trPr>
        <w:tc>
          <w:tcPr>
            <w:tcW w:w="1308" w:type="dxa"/>
            <w:vMerge w:val="restart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悬浮粒子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≥0.5μm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GB/T 16292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≤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3520000粒/m³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1次</w:t>
            </w: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/年</w:t>
            </w:r>
          </w:p>
        </w:tc>
      </w:tr>
      <w:tr w:rsidR="00E36958" w:rsidRPr="00E36958" w:rsidTr="00E36958">
        <w:trPr>
          <w:trHeight w:val="700"/>
        </w:trPr>
        <w:tc>
          <w:tcPr>
            <w:tcW w:w="1308" w:type="dxa"/>
            <w:vMerge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≥5μm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GB/T 16292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≤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29000粒/m³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1次/</w:t>
            </w: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年</w:t>
            </w:r>
          </w:p>
        </w:tc>
      </w:tr>
      <w:tr w:rsidR="00E36958" w:rsidRPr="00E36958" w:rsidTr="00E36958">
        <w:trPr>
          <w:trHeight w:val="655"/>
        </w:trPr>
        <w:tc>
          <w:tcPr>
            <w:tcW w:w="1308" w:type="dxa"/>
            <w:vMerge w:val="restart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微生物最大允许数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浮游菌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GB/T 16293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≤</w:t>
            </w: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2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00</w:t>
            </w:r>
            <w:r w:rsidRPr="00E36958">
              <w:rPr>
                <w:rFonts w:asciiTheme="majorEastAsia" w:eastAsiaTheme="majorEastAsia" w:hAnsiTheme="majorEastAsia" w:cs="Arial"/>
                <w:caps/>
                <w:color w:val="000000" w:themeColor="text1"/>
                <w:szCs w:val="21"/>
              </w:rPr>
              <w:t>CFU/m³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1次/月</w:t>
            </w:r>
          </w:p>
        </w:tc>
      </w:tr>
      <w:tr w:rsidR="00E36958" w:rsidRPr="00E36958" w:rsidTr="00E36958">
        <w:trPr>
          <w:trHeight w:val="1327"/>
        </w:trPr>
        <w:tc>
          <w:tcPr>
            <w:tcW w:w="1308" w:type="dxa"/>
            <w:vMerge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沉降菌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GB/T 16294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≤100 cfu/4h(φ90mm)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1次/月</w:t>
            </w:r>
          </w:p>
        </w:tc>
      </w:tr>
      <w:tr w:rsidR="00E36958" w:rsidRPr="00E36958" w:rsidTr="00E36958">
        <w:trPr>
          <w:trHeight w:val="1211"/>
        </w:trPr>
        <w:tc>
          <w:tcPr>
            <w:tcW w:w="1308" w:type="dxa"/>
            <w:vMerge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表面微生物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参照GB15982采样，按GB4789.2计数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pStyle w:val="a6"/>
              <w:shd w:val="clear" w:color="auto" w:fill="FFFFFF"/>
              <w:wordWrap w:val="0"/>
              <w:ind w:firstLine="480"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"/>
                <w:sz w:val="2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kern w:val="2"/>
                <w:sz w:val="21"/>
                <w:szCs w:val="21"/>
              </w:rPr>
              <w:t>≤50cfu/皿(φ55mm)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1次/月</w:t>
            </w:r>
          </w:p>
        </w:tc>
      </w:tr>
      <w:tr w:rsidR="00E36958" w:rsidRPr="00E36958" w:rsidTr="00E36958">
        <w:trPr>
          <w:trHeight w:val="648"/>
        </w:trPr>
        <w:tc>
          <w:tcPr>
            <w:tcW w:w="1308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压差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清洁作业区与非清洁作业区之间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通过压差计测量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≥10Pa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2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次/班</w:t>
            </w:r>
          </w:p>
        </w:tc>
      </w:tr>
      <w:tr w:rsidR="00E36958" w:rsidRPr="00E36958" w:rsidTr="00E36958">
        <w:trPr>
          <w:trHeight w:val="732"/>
        </w:trPr>
        <w:tc>
          <w:tcPr>
            <w:tcW w:w="1308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换气次数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通过测定风速验证换气次数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通过风速仪测定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≥1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0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次/</w:t>
            </w: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h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更换高效过滤器时或1次/</w:t>
            </w: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月</w:t>
            </w:r>
          </w:p>
        </w:tc>
      </w:tr>
      <w:tr w:rsidR="00E36958" w:rsidRPr="00E36958" w:rsidTr="00E36958">
        <w:trPr>
          <w:trHeight w:val="532"/>
        </w:trPr>
        <w:tc>
          <w:tcPr>
            <w:tcW w:w="1308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温度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通过温度表测定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16-2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6</w:t>
            </w:r>
            <w:r w:rsidRPr="00E36958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℃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2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次/班</w:t>
            </w:r>
          </w:p>
        </w:tc>
      </w:tr>
      <w:tr w:rsidR="00E36958" w:rsidRPr="00E36958" w:rsidTr="00E36958">
        <w:trPr>
          <w:trHeight w:val="513"/>
        </w:trPr>
        <w:tc>
          <w:tcPr>
            <w:tcW w:w="1308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相对湿度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-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通过湿度表测定</w:t>
            </w:r>
          </w:p>
        </w:tc>
        <w:tc>
          <w:tcPr>
            <w:tcW w:w="1797" w:type="dxa"/>
            <w:vAlign w:val="center"/>
          </w:tcPr>
          <w:p w:rsidR="00E36958" w:rsidRPr="00E36958" w:rsidRDefault="00E36958" w:rsidP="00E36958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≤65％</w:t>
            </w:r>
          </w:p>
        </w:tc>
        <w:tc>
          <w:tcPr>
            <w:tcW w:w="1961" w:type="dxa"/>
            <w:vAlign w:val="center"/>
          </w:tcPr>
          <w:p w:rsidR="00E36958" w:rsidRPr="00E36958" w:rsidRDefault="00E36958" w:rsidP="00E36958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</w:pPr>
            <w:r w:rsidRPr="00E36958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</w:rPr>
              <w:t>2</w:t>
            </w:r>
            <w:r w:rsidRPr="00E36958">
              <w:rPr>
                <w:rFonts w:asciiTheme="majorEastAsia" w:eastAsiaTheme="majorEastAsia" w:hAnsiTheme="majorEastAsia" w:cs="Arial"/>
                <w:color w:val="000000" w:themeColor="text1"/>
                <w:szCs w:val="21"/>
              </w:rPr>
              <w:t>次/班</w:t>
            </w:r>
          </w:p>
        </w:tc>
      </w:tr>
      <w:tr w:rsidR="00FB77CB" w:rsidRPr="00E36958" w:rsidTr="00730285">
        <w:trPr>
          <w:trHeight w:val="513"/>
        </w:trPr>
        <w:tc>
          <w:tcPr>
            <w:tcW w:w="8988" w:type="dxa"/>
            <w:gridSpan w:val="5"/>
            <w:vAlign w:val="center"/>
          </w:tcPr>
          <w:p w:rsidR="00FB77CB" w:rsidRDefault="00FB77CB" w:rsidP="00FB77CB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C40787">
              <w:rPr>
                <w:rFonts w:ascii="Arial" w:hAnsi="Arial" w:cs="Arial"/>
                <w:szCs w:val="21"/>
              </w:rPr>
              <w:t>注：</w:t>
            </w:r>
            <w:r>
              <w:rPr>
                <w:rFonts w:ascii="Arial" w:hAnsi="Arial" w:cs="Arial" w:hint="eastAsia"/>
                <w:szCs w:val="21"/>
              </w:rPr>
              <w:t xml:space="preserve">1. </w:t>
            </w:r>
            <w:r w:rsidRPr="00C40787">
              <w:rPr>
                <w:rFonts w:ascii="Arial" w:hAnsi="Arial" w:cs="Arial"/>
                <w:szCs w:val="21"/>
              </w:rPr>
              <w:t>换气次数通过风速进行转换后测定。计算公式为：</w:t>
            </w:r>
            <w:r w:rsidRPr="00C40787">
              <w:rPr>
                <w:rFonts w:ascii="Arial" w:hAnsi="Arial" w:cs="Arial"/>
                <w:szCs w:val="21"/>
              </w:rPr>
              <w:t>N=3600SV/A</w:t>
            </w:r>
            <w:r w:rsidRPr="00C40787">
              <w:rPr>
                <w:rFonts w:ascii="Arial" w:hAnsi="Arial" w:cs="Arial"/>
                <w:szCs w:val="21"/>
              </w:rPr>
              <w:t>，监测是通过风速计算。其中，</w:t>
            </w:r>
            <w:r w:rsidRPr="00C40787">
              <w:rPr>
                <w:rFonts w:ascii="Arial" w:hAnsi="Arial" w:cs="Arial"/>
                <w:szCs w:val="21"/>
              </w:rPr>
              <w:t>N=</w:t>
            </w:r>
            <w:r w:rsidRPr="00C40787">
              <w:rPr>
                <w:rFonts w:ascii="Arial" w:hAnsi="Arial" w:cs="Arial"/>
                <w:szCs w:val="21"/>
              </w:rPr>
              <w:t>换气次数，次</w:t>
            </w:r>
            <w:r w:rsidRPr="00C40787">
              <w:rPr>
                <w:rFonts w:ascii="Arial" w:hAnsi="Arial" w:cs="Arial"/>
                <w:szCs w:val="21"/>
              </w:rPr>
              <w:t>/h</w:t>
            </w:r>
            <w:r w:rsidRPr="00C40787">
              <w:rPr>
                <w:rFonts w:ascii="Arial" w:hAnsi="Arial" w:cs="Arial"/>
                <w:szCs w:val="21"/>
              </w:rPr>
              <w:t>；</w:t>
            </w:r>
            <w:r w:rsidRPr="00C40787">
              <w:rPr>
                <w:rFonts w:ascii="Arial" w:hAnsi="Arial" w:cs="Arial"/>
                <w:szCs w:val="21"/>
              </w:rPr>
              <w:t>S=</w:t>
            </w:r>
            <w:r w:rsidRPr="00C40787">
              <w:rPr>
                <w:rFonts w:ascii="Arial" w:hAnsi="Arial" w:cs="Arial"/>
                <w:szCs w:val="21"/>
              </w:rPr>
              <w:t>风口通风面积，；</w:t>
            </w:r>
            <w:r w:rsidRPr="00C40787">
              <w:rPr>
                <w:rFonts w:ascii="Arial" w:hAnsi="Arial" w:cs="Arial"/>
                <w:szCs w:val="21"/>
              </w:rPr>
              <w:t>A=</w:t>
            </w:r>
            <w:r w:rsidRPr="00C40787">
              <w:rPr>
                <w:rFonts w:ascii="Arial" w:hAnsi="Arial" w:cs="Arial"/>
                <w:szCs w:val="21"/>
              </w:rPr>
              <w:t>车间容积，；</w:t>
            </w:r>
            <w:r w:rsidRPr="00C40787">
              <w:rPr>
                <w:rFonts w:ascii="Arial" w:hAnsi="Arial" w:cs="Arial"/>
                <w:szCs w:val="21"/>
              </w:rPr>
              <w:t>V=</w:t>
            </w:r>
            <w:r w:rsidRPr="00C40787">
              <w:rPr>
                <w:rFonts w:ascii="Arial" w:hAnsi="Arial" w:cs="Arial"/>
                <w:szCs w:val="21"/>
              </w:rPr>
              <w:t>测得风口平均风速，</w:t>
            </w:r>
            <w:r w:rsidRPr="00C40787">
              <w:rPr>
                <w:rFonts w:ascii="Arial" w:hAnsi="Arial" w:cs="Arial"/>
                <w:szCs w:val="21"/>
              </w:rPr>
              <w:t>m/s</w:t>
            </w:r>
            <w:r w:rsidRPr="00C40787">
              <w:rPr>
                <w:rFonts w:ascii="Arial" w:hAnsi="Arial" w:cs="Arial"/>
                <w:szCs w:val="21"/>
              </w:rPr>
              <w:t>。</w:t>
            </w:r>
          </w:p>
          <w:p w:rsidR="00FB77CB" w:rsidRPr="00FB77CB" w:rsidRDefault="00FB77CB" w:rsidP="00FB77CB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2. </w:t>
            </w:r>
            <w:r>
              <w:rPr>
                <w:rFonts w:ascii="Arial" w:hAnsi="Arial" w:cs="Arial" w:hint="eastAsia"/>
                <w:szCs w:val="21"/>
              </w:rPr>
              <w:t>延长或缩短监控频次前，生产企业应</w:t>
            </w:r>
            <w:r w:rsidR="0072567C">
              <w:rPr>
                <w:rFonts w:ascii="Arial" w:hAnsi="Arial" w:cs="Arial" w:hint="eastAsia"/>
                <w:szCs w:val="21"/>
              </w:rPr>
              <w:t>当</w:t>
            </w:r>
            <w:r>
              <w:rPr>
                <w:rFonts w:ascii="Arial" w:hAnsi="Arial" w:cs="Arial" w:hint="eastAsia"/>
                <w:szCs w:val="21"/>
              </w:rPr>
              <w:t>进行效果确认，并提供确认报告</w:t>
            </w:r>
          </w:p>
        </w:tc>
      </w:tr>
    </w:tbl>
    <w:p w:rsidR="00A23234" w:rsidRDefault="00A23234">
      <w:pPr>
        <w:spacing w:line="360" w:lineRule="auto"/>
        <w:rPr>
          <w:color w:val="000000" w:themeColor="text1"/>
        </w:rPr>
      </w:pPr>
    </w:p>
    <w:sectPr w:rsidR="00A23234" w:rsidSect="00A24BDE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63" w:rsidRDefault="006C7063">
      <w:r>
        <w:separator/>
      </w:r>
    </w:p>
  </w:endnote>
  <w:endnote w:type="continuationSeparator" w:id="0">
    <w:p w:rsidR="006C7063" w:rsidRDefault="006C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B2" w:rsidRDefault="00182AB2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FA4EEA">
      <w:rPr>
        <w:sz w:val="21"/>
        <w:szCs w:val="21"/>
      </w:rPr>
      <w:fldChar w:fldCharType="begin"/>
    </w:r>
    <w:r>
      <w:rPr>
        <w:rFonts w:hint="eastAsia"/>
        <w:sz w:val="21"/>
        <w:szCs w:val="21"/>
      </w:rPr>
      <w:instrText>PAGE  \* Arabic  \* MERGEFORMAT</w:instrText>
    </w:r>
    <w:r w:rsidR="00FA4EEA">
      <w:rPr>
        <w:sz w:val="21"/>
        <w:szCs w:val="21"/>
      </w:rPr>
      <w:fldChar w:fldCharType="separate"/>
    </w:r>
    <w:r w:rsidR="006C7063">
      <w:rPr>
        <w:noProof/>
        <w:sz w:val="21"/>
        <w:szCs w:val="21"/>
      </w:rPr>
      <w:t>1</w:t>
    </w:r>
    <w:r w:rsidR="00FA4EE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fldSimple w:instr=" NUMPAGES  \* Arabic  \* MERGEFORMAT ">
      <w:r w:rsidR="006C7063" w:rsidRPr="006C7063">
        <w:rPr>
          <w:noProof/>
          <w:sz w:val="21"/>
          <w:szCs w:val="21"/>
        </w:rPr>
        <w:t>1</w:t>
      </w:r>
    </w:fldSimple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63" w:rsidRDefault="006C7063">
      <w:r>
        <w:separator/>
      </w:r>
    </w:p>
  </w:footnote>
  <w:footnote w:type="continuationSeparator" w:id="0">
    <w:p w:rsidR="006C7063" w:rsidRDefault="006C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9A"/>
    <w:multiLevelType w:val="hybridMultilevel"/>
    <w:tmpl w:val="38A6BE6C"/>
    <w:lvl w:ilvl="0" w:tplc="1E9EFECA">
      <w:start w:val="2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F5D240C"/>
    <w:multiLevelType w:val="multilevel"/>
    <w:tmpl w:val="9CFE6A64"/>
    <w:lvl w:ilvl="0">
      <w:start w:val="1"/>
      <w:numFmt w:val="chineseCountingThousand"/>
      <w:lvlText w:val="第%1条."/>
      <w:lvlJc w:val="left"/>
      <w:pPr>
        <w:ind w:left="420" w:hanging="420"/>
      </w:pPr>
      <w:rPr>
        <w:rFonts w:hint="eastAsia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6364D1"/>
    <w:multiLevelType w:val="multilevel"/>
    <w:tmpl w:val="89841922"/>
    <w:lvl w:ilvl="0">
      <w:start w:val="1"/>
      <w:numFmt w:val="chineseCountingThousand"/>
      <w:suff w:val="nothing"/>
      <w:lvlText w:val="第%1条　"/>
      <w:lvlJc w:val="left"/>
      <w:pPr>
        <w:ind w:left="2014" w:firstLine="680"/>
      </w:pPr>
      <w:rPr>
        <w:rFonts w:ascii="宋体" w:eastAsia="黑体" w:hAnsi="宋体" w:cs="仿宋" w:hint="eastAsia"/>
        <w:b w:val="0"/>
        <w:bCs/>
        <w:i w:val="0"/>
        <w:color w:val="000000" w:themeColor="text1"/>
        <w:sz w:val="32"/>
        <w:szCs w:val="32"/>
        <w:lang w:val="en-US"/>
      </w:rPr>
    </w:lvl>
    <w:lvl w:ilvl="1">
      <w:start w:val="1"/>
      <w:numFmt w:val="chineseCounting"/>
      <w:suff w:val="nothing"/>
      <w:lvlText w:val="第%2节　"/>
      <w:lvlJc w:val="left"/>
      <w:pPr>
        <w:ind w:left="-24" w:firstLine="402"/>
      </w:pPr>
      <w:rPr>
        <w:rFonts w:hint="eastAsia"/>
      </w:rPr>
    </w:lvl>
    <w:lvl w:ilvl="2">
      <w:start w:val="1"/>
      <w:numFmt w:val="chineseCounting"/>
      <w:suff w:val="nothing"/>
      <w:lvlText w:val="第%3条　"/>
      <w:lvlJc w:val="left"/>
      <w:pPr>
        <w:ind w:left="-24" w:firstLine="402"/>
      </w:pPr>
      <w:rPr>
        <w:rFonts w:hint="eastAsia"/>
      </w:rPr>
    </w:lvl>
    <w:lvl w:ilvl="3">
      <w:start w:val="1"/>
      <w:numFmt w:val="chineseCounting"/>
      <w:suff w:val="nothing"/>
      <w:lvlText w:val="（%4）"/>
      <w:lvlJc w:val="left"/>
      <w:pPr>
        <w:ind w:left="-24" w:firstLine="402"/>
      </w:pPr>
      <w:rPr>
        <w:rFonts w:hint="eastAsia"/>
      </w:rPr>
    </w:lvl>
    <w:lvl w:ilvl="4">
      <w:start w:val="1"/>
      <w:numFmt w:val="decimal"/>
      <w:suff w:val="nothing"/>
      <w:lvlText w:val="%5．"/>
      <w:lvlJc w:val="left"/>
      <w:pPr>
        <w:ind w:left="-24" w:firstLine="402"/>
      </w:pPr>
      <w:rPr>
        <w:rFonts w:hint="eastAsia"/>
      </w:rPr>
    </w:lvl>
    <w:lvl w:ilvl="5">
      <w:start w:val="1"/>
      <w:numFmt w:val="decimal"/>
      <w:suff w:val="nothing"/>
      <w:lvlText w:val="（%6）"/>
      <w:lvlJc w:val="left"/>
      <w:pPr>
        <w:ind w:left="-24" w:firstLine="402"/>
      </w:pPr>
      <w:rPr>
        <w:rFonts w:hint="eastAsia"/>
      </w:rPr>
    </w:lvl>
    <w:lvl w:ilvl="6">
      <w:start w:val="1"/>
      <w:numFmt w:val="decimalEnclosedCircleChinese"/>
      <w:suff w:val="nothing"/>
      <w:lvlText w:val="%7 "/>
      <w:lvlJc w:val="left"/>
      <w:pPr>
        <w:ind w:left="-24" w:firstLine="402"/>
      </w:pPr>
      <w:rPr>
        <w:rFonts w:hint="eastAsia"/>
      </w:rPr>
    </w:lvl>
    <w:lvl w:ilvl="7">
      <w:start w:val="1"/>
      <w:numFmt w:val="decimal"/>
      <w:suff w:val="nothing"/>
      <w:lvlText w:val="%8）"/>
      <w:lvlJc w:val="left"/>
      <w:pPr>
        <w:ind w:left="-24" w:firstLine="402"/>
      </w:pPr>
      <w:rPr>
        <w:rFonts w:hint="eastAsia"/>
      </w:rPr>
    </w:lvl>
    <w:lvl w:ilvl="8">
      <w:start w:val="1"/>
      <w:numFmt w:val="lowerLetter"/>
      <w:suff w:val="nothing"/>
      <w:lvlText w:val="%9．"/>
      <w:lvlJc w:val="left"/>
      <w:pPr>
        <w:ind w:left="-24" w:firstLine="402"/>
      </w:pPr>
      <w:rPr>
        <w:rFonts w:hint="eastAsia"/>
      </w:rPr>
    </w:lvl>
  </w:abstractNum>
  <w:abstractNum w:abstractNumId="3">
    <w:nsid w:val="39A811D7"/>
    <w:multiLevelType w:val="multilevel"/>
    <w:tmpl w:val="4B0EE350"/>
    <w:lvl w:ilvl="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94B4A"/>
    <w:multiLevelType w:val="hybridMultilevel"/>
    <w:tmpl w:val="F79812CC"/>
    <w:lvl w:ilvl="0" w:tplc="9E0E20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F4F9C"/>
    <w:multiLevelType w:val="multilevel"/>
    <w:tmpl w:val="89841922"/>
    <w:lvl w:ilvl="0">
      <w:start w:val="1"/>
      <w:numFmt w:val="chineseCountingThousand"/>
      <w:suff w:val="nothing"/>
      <w:lvlText w:val="第%1条　"/>
      <w:lvlJc w:val="left"/>
      <w:pPr>
        <w:ind w:left="2014" w:firstLine="680"/>
      </w:pPr>
      <w:rPr>
        <w:rFonts w:ascii="宋体" w:eastAsia="黑体" w:hAnsi="宋体" w:cs="仿宋" w:hint="eastAsia"/>
        <w:b w:val="0"/>
        <w:bCs/>
        <w:i w:val="0"/>
        <w:color w:val="000000" w:themeColor="text1"/>
        <w:sz w:val="32"/>
        <w:szCs w:val="32"/>
        <w:lang w:val="en-US"/>
      </w:rPr>
    </w:lvl>
    <w:lvl w:ilvl="1">
      <w:start w:val="1"/>
      <w:numFmt w:val="chineseCounting"/>
      <w:suff w:val="nothing"/>
      <w:lvlText w:val="第%2节　"/>
      <w:lvlJc w:val="left"/>
      <w:pPr>
        <w:ind w:left="-24" w:firstLine="402"/>
      </w:pPr>
      <w:rPr>
        <w:rFonts w:hint="eastAsia"/>
      </w:rPr>
    </w:lvl>
    <w:lvl w:ilvl="2">
      <w:start w:val="1"/>
      <w:numFmt w:val="chineseCounting"/>
      <w:suff w:val="nothing"/>
      <w:lvlText w:val="第%3条　"/>
      <w:lvlJc w:val="left"/>
      <w:pPr>
        <w:ind w:left="-24" w:firstLine="402"/>
      </w:pPr>
      <w:rPr>
        <w:rFonts w:hint="eastAsia"/>
      </w:rPr>
    </w:lvl>
    <w:lvl w:ilvl="3">
      <w:start w:val="1"/>
      <w:numFmt w:val="chineseCounting"/>
      <w:suff w:val="nothing"/>
      <w:lvlText w:val="（%4）"/>
      <w:lvlJc w:val="left"/>
      <w:pPr>
        <w:ind w:left="-24" w:firstLine="402"/>
      </w:pPr>
      <w:rPr>
        <w:rFonts w:hint="eastAsia"/>
      </w:rPr>
    </w:lvl>
    <w:lvl w:ilvl="4">
      <w:start w:val="1"/>
      <w:numFmt w:val="decimal"/>
      <w:suff w:val="nothing"/>
      <w:lvlText w:val="%5．"/>
      <w:lvlJc w:val="left"/>
      <w:pPr>
        <w:ind w:left="-24" w:firstLine="402"/>
      </w:pPr>
      <w:rPr>
        <w:rFonts w:hint="eastAsia"/>
      </w:rPr>
    </w:lvl>
    <w:lvl w:ilvl="5">
      <w:start w:val="1"/>
      <w:numFmt w:val="decimal"/>
      <w:suff w:val="nothing"/>
      <w:lvlText w:val="（%6）"/>
      <w:lvlJc w:val="left"/>
      <w:pPr>
        <w:ind w:left="-24" w:firstLine="402"/>
      </w:pPr>
      <w:rPr>
        <w:rFonts w:hint="eastAsia"/>
      </w:rPr>
    </w:lvl>
    <w:lvl w:ilvl="6">
      <w:start w:val="1"/>
      <w:numFmt w:val="decimalEnclosedCircleChinese"/>
      <w:suff w:val="nothing"/>
      <w:lvlText w:val="%7 "/>
      <w:lvlJc w:val="left"/>
      <w:pPr>
        <w:ind w:left="-24" w:firstLine="402"/>
      </w:pPr>
      <w:rPr>
        <w:rFonts w:hint="eastAsia"/>
      </w:rPr>
    </w:lvl>
    <w:lvl w:ilvl="7">
      <w:start w:val="1"/>
      <w:numFmt w:val="decimal"/>
      <w:suff w:val="nothing"/>
      <w:lvlText w:val="%8）"/>
      <w:lvlJc w:val="left"/>
      <w:pPr>
        <w:ind w:left="-24" w:firstLine="402"/>
      </w:pPr>
      <w:rPr>
        <w:rFonts w:hint="eastAsia"/>
      </w:rPr>
    </w:lvl>
    <w:lvl w:ilvl="8">
      <w:start w:val="1"/>
      <w:numFmt w:val="lowerLetter"/>
      <w:suff w:val="nothing"/>
      <w:lvlText w:val="%9．"/>
      <w:lvlJc w:val="left"/>
      <w:pPr>
        <w:ind w:left="-24" w:firstLine="402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1"/>
    <w:rsid w:val="00002C27"/>
    <w:rsid w:val="000330AB"/>
    <w:rsid w:val="000359C9"/>
    <w:rsid w:val="00043560"/>
    <w:rsid w:val="00053287"/>
    <w:rsid w:val="00054519"/>
    <w:rsid w:val="0005494D"/>
    <w:rsid w:val="00055C8B"/>
    <w:rsid w:val="00093AE0"/>
    <w:rsid w:val="000B1DA4"/>
    <w:rsid w:val="000E0182"/>
    <w:rsid w:val="000E3918"/>
    <w:rsid w:val="000F3942"/>
    <w:rsid w:val="00101B8F"/>
    <w:rsid w:val="00102B00"/>
    <w:rsid w:val="001147DE"/>
    <w:rsid w:val="00115FCD"/>
    <w:rsid w:val="00130D11"/>
    <w:rsid w:val="001348DF"/>
    <w:rsid w:val="00134BDE"/>
    <w:rsid w:val="0013577C"/>
    <w:rsid w:val="00135829"/>
    <w:rsid w:val="00145D75"/>
    <w:rsid w:val="0016361F"/>
    <w:rsid w:val="00182AB2"/>
    <w:rsid w:val="00183C89"/>
    <w:rsid w:val="001B2BB3"/>
    <w:rsid w:val="001D57CA"/>
    <w:rsid w:val="001E0353"/>
    <w:rsid w:val="001E417C"/>
    <w:rsid w:val="00201EC3"/>
    <w:rsid w:val="00230716"/>
    <w:rsid w:val="0024168F"/>
    <w:rsid w:val="002512B6"/>
    <w:rsid w:val="00272D1D"/>
    <w:rsid w:val="00274AF1"/>
    <w:rsid w:val="00274B99"/>
    <w:rsid w:val="002A4075"/>
    <w:rsid w:val="002B13A3"/>
    <w:rsid w:val="002B5DE5"/>
    <w:rsid w:val="002B608B"/>
    <w:rsid w:val="002C6F5D"/>
    <w:rsid w:val="002D1D39"/>
    <w:rsid w:val="002F5C58"/>
    <w:rsid w:val="002F7115"/>
    <w:rsid w:val="00306D5C"/>
    <w:rsid w:val="00337EFE"/>
    <w:rsid w:val="00340644"/>
    <w:rsid w:val="003630C0"/>
    <w:rsid w:val="00366EE5"/>
    <w:rsid w:val="003773A3"/>
    <w:rsid w:val="00380A0D"/>
    <w:rsid w:val="003962DC"/>
    <w:rsid w:val="003A3557"/>
    <w:rsid w:val="003B057F"/>
    <w:rsid w:val="003B69B1"/>
    <w:rsid w:val="003C39A9"/>
    <w:rsid w:val="003D1773"/>
    <w:rsid w:val="003D5F88"/>
    <w:rsid w:val="003E3203"/>
    <w:rsid w:val="00400E90"/>
    <w:rsid w:val="004064C2"/>
    <w:rsid w:val="00411178"/>
    <w:rsid w:val="004205B3"/>
    <w:rsid w:val="00425890"/>
    <w:rsid w:val="004275FF"/>
    <w:rsid w:val="00443213"/>
    <w:rsid w:val="00445951"/>
    <w:rsid w:val="00450DB6"/>
    <w:rsid w:val="00466F4E"/>
    <w:rsid w:val="00474B72"/>
    <w:rsid w:val="00480961"/>
    <w:rsid w:val="00482A32"/>
    <w:rsid w:val="00497154"/>
    <w:rsid w:val="004A0F5F"/>
    <w:rsid w:val="004A7386"/>
    <w:rsid w:val="004B10A3"/>
    <w:rsid w:val="004C0812"/>
    <w:rsid w:val="004D2794"/>
    <w:rsid w:val="004D5603"/>
    <w:rsid w:val="004E6CFA"/>
    <w:rsid w:val="005000F3"/>
    <w:rsid w:val="00512596"/>
    <w:rsid w:val="00517DE4"/>
    <w:rsid w:val="00531E4F"/>
    <w:rsid w:val="005328D6"/>
    <w:rsid w:val="00537CA7"/>
    <w:rsid w:val="00546BA7"/>
    <w:rsid w:val="00567B2A"/>
    <w:rsid w:val="005712F1"/>
    <w:rsid w:val="00583DBD"/>
    <w:rsid w:val="005A0137"/>
    <w:rsid w:val="005A400A"/>
    <w:rsid w:val="005B3DFC"/>
    <w:rsid w:val="005B3EF7"/>
    <w:rsid w:val="005E1C81"/>
    <w:rsid w:val="005E4650"/>
    <w:rsid w:val="005E57FC"/>
    <w:rsid w:val="006148C4"/>
    <w:rsid w:val="006335F2"/>
    <w:rsid w:val="006526CB"/>
    <w:rsid w:val="00662232"/>
    <w:rsid w:val="00666890"/>
    <w:rsid w:val="0067754C"/>
    <w:rsid w:val="00683999"/>
    <w:rsid w:val="00685D4E"/>
    <w:rsid w:val="006928CC"/>
    <w:rsid w:val="00694FFA"/>
    <w:rsid w:val="0069505C"/>
    <w:rsid w:val="00695B2E"/>
    <w:rsid w:val="006A12BA"/>
    <w:rsid w:val="006A4D8E"/>
    <w:rsid w:val="006C7063"/>
    <w:rsid w:val="006E2DCA"/>
    <w:rsid w:val="006E5A2C"/>
    <w:rsid w:val="00702384"/>
    <w:rsid w:val="007071DF"/>
    <w:rsid w:val="00710D9F"/>
    <w:rsid w:val="007225AD"/>
    <w:rsid w:val="0072567C"/>
    <w:rsid w:val="007270D6"/>
    <w:rsid w:val="00730285"/>
    <w:rsid w:val="00744BAC"/>
    <w:rsid w:val="00752887"/>
    <w:rsid w:val="00752B25"/>
    <w:rsid w:val="00752D88"/>
    <w:rsid w:val="007868A2"/>
    <w:rsid w:val="007A2470"/>
    <w:rsid w:val="007B0977"/>
    <w:rsid w:val="007B6FAD"/>
    <w:rsid w:val="007C3FEA"/>
    <w:rsid w:val="007D03A7"/>
    <w:rsid w:val="007D6013"/>
    <w:rsid w:val="00810BCD"/>
    <w:rsid w:val="00820E14"/>
    <w:rsid w:val="00821FD3"/>
    <w:rsid w:val="00837224"/>
    <w:rsid w:val="008500BF"/>
    <w:rsid w:val="00863660"/>
    <w:rsid w:val="008D10EE"/>
    <w:rsid w:val="008D6116"/>
    <w:rsid w:val="008E51A5"/>
    <w:rsid w:val="00911F87"/>
    <w:rsid w:val="0092299D"/>
    <w:rsid w:val="00932EB3"/>
    <w:rsid w:val="00934DFD"/>
    <w:rsid w:val="00954D4A"/>
    <w:rsid w:val="00955923"/>
    <w:rsid w:val="0096080A"/>
    <w:rsid w:val="00990641"/>
    <w:rsid w:val="009D1703"/>
    <w:rsid w:val="009D2D24"/>
    <w:rsid w:val="009D3CDF"/>
    <w:rsid w:val="009F6329"/>
    <w:rsid w:val="009F6EB1"/>
    <w:rsid w:val="00A10604"/>
    <w:rsid w:val="00A130D3"/>
    <w:rsid w:val="00A23234"/>
    <w:rsid w:val="00A24BDE"/>
    <w:rsid w:val="00A36FFF"/>
    <w:rsid w:val="00A47F67"/>
    <w:rsid w:val="00A6481A"/>
    <w:rsid w:val="00A7553C"/>
    <w:rsid w:val="00AA2CAE"/>
    <w:rsid w:val="00AA31AE"/>
    <w:rsid w:val="00AF41BF"/>
    <w:rsid w:val="00AF5B65"/>
    <w:rsid w:val="00B01B98"/>
    <w:rsid w:val="00B04FD5"/>
    <w:rsid w:val="00B241BD"/>
    <w:rsid w:val="00B30CB9"/>
    <w:rsid w:val="00B34250"/>
    <w:rsid w:val="00B47FF2"/>
    <w:rsid w:val="00B53201"/>
    <w:rsid w:val="00B62DC9"/>
    <w:rsid w:val="00B646F6"/>
    <w:rsid w:val="00B65078"/>
    <w:rsid w:val="00B74B63"/>
    <w:rsid w:val="00BA398E"/>
    <w:rsid w:val="00BA3F0F"/>
    <w:rsid w:val="00BA4299"/>
    <w:rsid w:val="00BA60E9"/>
    <w:rsid w:val="00BA733A"/>
    <w:rsid w:val="00BB1479"/>
    <w:rsid w:val="00BC1AD9"/>
    <w:rsid w:val="00BC1B7A"/>
    <w:rsid w:val="00BC5679"/>
    <w:rsid w:val="00BD5D74"/>
    <w:rsid w:val="00BE2C52"/>
    <w:rsid w:val="00C002C8"/>
    <w:rsid w:val="00C02B96"/>
    <w:rsid w:val="00C10125"/>
    <w:rsid w:val="00C10891"/>
    <w:rsid w:val="00C203E9"/>
    <w:rsid w:val="00C22A5D"/>
    <w:rsid w:val="00C32A7E"/>
    <w:rsid w:val="00C40787"/>
    <w:rsid w:val="00C4466C"/>
    <w:rsid w:val="00C51633"/>
    <w:rsid w:val="00C54775"/>
    <w:rsid w:val="00C66848"/>
    <w:rsid w:val="00C7032C"/>
    <w:rsid w:val="00C72738"/>
    <w:rsid w:val="00C857AA"/>
    <w:rsid w:val="00CC34FF"/>
    <w:rsid w:val="00CC3AA9"/>
    <w:rsid w:val="00CC4097"/>
    <w:rsid w:val="00CD7D97"/>
    <w:rsid w:val="00CE5B7A"/>
    <w:rsid w:val="00CF2B63"/>
    <w:rsid w:val="00D03369"/>
    <w:rsid w:val="00D04CAC"/>
    <w:rsid w:val="00D16BA1"/>
    <w:rsid w:val="00D16F92"/>
    <w:rsid w:val="00D26EEF"/>
    <w:rsid w:val="00D53A47"/>
    <w:rsid w:val="00D55E39"/>
    <w:rsid w:val="00D716B9"/>
    <w:rsid w:val="00D7474F"/>
    <w:rsid w:val="00D87ACA"/>
    <w:rsid w:val="00D90C3E"/>
    <w:rsid w:val="00D951FA"/>
    <w:rsid w:val="00DB0F60"/>
    <w:rsid w:val="00DB55B3"/>
    <w:rsid w:val="00DC6E72"/>
    <w:rsid w:val="00DD0D12"/>
    <w:rsid w:val="00DD50AA"/>
    <w:rsid w:val="00DE12B2"/>
    <w:rsid w:val="00DE3CDA"/>
    <w:rsid w:val="00E041D2"/>
    <w:rsid w:val="00E21875"/>
    <w:rsid w:val="00E3360C"/>
    <w:rsid w:val="00E36958"/>
    <w:rsid w:val="00E46160"/>
    <w:rsid w:val="00E47982"/>
    <w:rsid w:val="00E51C9E"/>
    <w:rsid w:val="00E549F8"/>
    <w:rsid w:val="00E6713F"/>
    <w:rsid w:val="00E707BE"/>
    <w:rsid w:val="00E734FD"/>
    <w:rsid w:val="00E77E9B"/>
    <w:rsid w:val="00E859D8"/>
    <w:rsid w:val="00E97592"/>
    <w:rsid w:val="00EC09A7"/>
    <w:rsid w:val="00EC7A06"/>
    <w:rsid w:val="00EF48B3"/>
    <w:rsid w:val="00F000AB"/>
    <w:rsid w:val="00F05E9F"/>
    <w:rsid w:val="00F06B0F"/>
    <w:rsid w:val="00F07FBF"/>
    <w:rsid w:val="00F12655"/>
    <w:rsid w:val="00F158BD"/>
    <w:rsid w:val="00F22DC0"/>
    <w:rsid w:val="00F247FB"/>
    <w:rsid w:val="00F31209"/>
    <w:rsid w:val="00F31487"/>
    <w:rsid w:val="00F3644B"/>
    <w:rsid w:val="00F41FFD"/>
    <w:rsid w:val="00F4677A"/>
    <w:rsid w:val="00F57DB7"/>
    <w:rsid w:val="00F646EA"/>
    <w:rsid w:val="00F86381"/>
    <w:rsid w:val="00F93E1D"/>
    <w:rsid w:val="00FA121E"/>
    <w:rsid w:val="00FA4EEA"/>
    <w:rsid w:val="00FA58C3"/>
    <w:rsid w:val="00FB77CB"/>
    <w:rsid w:val="00FB7ED2"/>
    <w:rsid w:val="00FC21BC"/>
    <w:rsid w:val="00FC693C"/>
    <w:rsid w:val="00FD35A6"/>
    <w:rsid w:val="00FF392A"/>
    <w:rsid w:val="00FF4225"/>
    <w:rsid w:val="19A7343E"/>
    <w:rsid w:val="38B46B12"/>
    <w:rsid w:val="3A9A6F31"/>
    <w:rsid w:val="3BDC58A2"/>
    <w:rsid w:val="3CCE640A"/>
    <w:rsid w:val="44402F4C"/>
    <w:rsid w:val="45F500AE"/>
    <w:rsid w:val="462927C7"/>
    <w:rsid w:val="5F844B63"/>
    <w:rsid w:val="68062C19"/>
    <w:rsid w:val="78F8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Body Text"/>
    <w:basedOn w:val="a"/>
    <w:link w:val="Char2"/>
    <w:qFormat/>
    <w:rsid w:val="008D10EE"/>
    <w:pPr>
      <w:spacing w:line="480" w:lineRule="exact"/>
    </w:pPr>
    <w:rPr>
      <w:rFonts w:eastAsia="仿宋_GB2312"/>
      <w:sz w:val="32"/>
      <w:szCs w:val="24"/>
    </w:rPr>
  </w:style>
  <w:style w:type="character" w:customStyle="1" w:styleId="Char2">
    <w:name w:val="正文文本 Char"/>
    <w:basedOn w:val="a0"/>
    <w:link w:val="aa"/>
    <w:qFormat/>
    <w:rsid w:val="008D10EE"/>
    <w:rPr>
      <w:rFonts w:asciiTheme="minorHAnsi" w:eastAsia="仿宋_GB2312" w:hAnsiTheme="minorHAnsi" w:cstheme="minorBidi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Body Text"/>
    <w:basedOn w:val="a"/>
    <w:link w:val="Char2"/>
    <w:qFormat/>
    <w:rsid w:val="008D10EE"/>
    <w:pPr>
      <w:spacing w:line="480" w:lineRule="exact"/>
    </w:pPr>
    <w:rPr>
      <w:rFonts w:eastAsia="仿宋_GB2312"/>
      <w:sz w:val="32"/>
      <w:szCs w:val="24"/>
    </w:rPr>
  </w:style>
  <w:style w:type="character" w:customStyle="1" w:styleId="Char2">
    <w:name w:val="正文文本 Char"/>
    <w:basedOn w:val="a0"/>
    <w:link w:val="aa"/>
    <w:qFormat/>
    <w:rsid w:val="008D10EE"/>
    <w:rPr>
      <w:rFonts w:asciiTheme="minorHAnsi" w:eastAsia="仿宋_GB2312" w:hAnsiTheme="minorHAnsi" w:cstheme="min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law.foodmate.net/show-178780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414AC-1D18-4900-A8B1-220CB3F8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11</Pages>
  <Words>2574</Words>
  <Characters>2575</Characters>
  <Application>Microsoft Office Word</Application>
  <DocSecurity>0</DocSecurity>
  <Lines>103</Lines>
  <Paragraphs>28</Paragraphs>
  <ScaleCrop>false</ScaleCrop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Yuxiao Li</dc:creator>
  <cp:lastModifiedBy>戴敏</cp:lastModifiedBy>
  <cp:revision>8</cp:revision>
  <cp:lastPrinted>2019-10-25T02:06:00Z</cp:lastPrinted>
  <dcterms:created xsi:type="dcterms:W3CDTF">2019-10-08T08:07:00Z</dcterms:created>
  <dcterms:modified xsi:type="dcterms:W3CDTF">2019-10-25T05:53:00Z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