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市场监管总局关于防控油脂类、酒类食品受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邻苯二甲酸酯类物质污染风险的公告</w:t>
      </w:r>
    </w:p>
    <w:p>
      <w:pPr>
        <w:spacing w:line="560" w:lineRule="exact"/>
        <w:jc w:val="center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（征求意见稿）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为落实食品生产经营者食品安全主体责任，加强食品安全管理，防控油脂类、酒类食品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受邻苯二甲酸酯类物质（俗称“塑化剂”）污染风险，保障食品安全，现将有关事项公告如下：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一、</w:t>
      </w:r>
      <w:r>
        <w:rPr>
          <w:rFonts w:hint="eastAsia" w:ascii="楷体" w:hAnsi="楷体" w:eastAsia="楷体" w:cs="楷体"/>
          <w:sz w:val="32"/>
          <w:szCs w:val="32"/>
        </w:rPr>
        <w:t>加强原辅料管控。</w:t>
      </w:r>
      <w:r>
        <w:rPr>
          <w:rFonts w:hint="eastAsia" w:eastAsia="仿宋_GB2312"/>
          <w:sz w:val="32"/>
          <w:szCs w:val="32"/>
        </w:rPr>
        <w:t>使用油脂类、酒类食品作为原辅料的食品生产者，要建立并严格落实原辅料供应商审核和进货查验记录制度，对采购的油脂类、酒类食品原辅料，无法提供合格证明的，要开展塑化剂项目检验，检验合格后方可使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二、</w:t>
      </w:r>
      <w:r>
        <w:rPr>
          <w:rFonts w:hint="eastAsia" w:ascii="楷体" w:hAnsi="楷体" w:eastAsia="楷体" w:cs="楷体"/>
          <w:sz w:val="32"/>
          <w:szCs w:val="32"/>
        </w:rPr>
        <w:t>加强食品相关产品管控。</w:t>
      </w:r>
      <w:r>
        <w:rPr>
          <w:rFonts w:hint="eastAsia" w:eastAsia="仿宋_GB2312"/>
          <w:sz w:val="32"/>
          <w:szCs w:val="32"/>
        </w:rPr>
        <w:t>使用塑料包装材料包装油脂类、酒类食品的食品生产者，要建立并严格落实食品相关产品进货查验记录制度，在查验供货者的许可证和产品合格证明的基础上，对无法提供合格证明的塑料包装材料、密封垫片等开展塑化剂项目检验，检验合格后方可使用。不得使用含有塑化剂的塑料包装材料、密封垫片等包装油脂类、酒类食品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三、加强生产经营过程防控。</w:t>
      </w:r>
      <w:r>
        <w:rPr>
          <w:rFonts w:hint="eastAsia" w:eastAsia="仿宋_GB2312"/>
          <w:sz w:val="32"/>
          <w:szCs w:val="32"/>
        </w:rPr>
        <w:t>企业生产经营过程中使用塑料材质的设备设施、管道、垫片、容器、工具等，不得含有塑化剂，避免食品接触污染。企业应加强贮存、运输、交付、销售等环节控制，防止因贮存温度高、运输交付不当等问题造成塑化剂污染。鼓励企业少使用或者不使用塑料材质的设备设施、管道、容器、工具、包装材料等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四、加强产品控制。</w:t>
      </w:r>
      <w:r>
        <w:rPr>
          <w:rFonts w:hint="eastAsia" w:eastAsia="仿宋_GB2312"/>
          <w:sz w:val="32"/>
          <w:szCs w:val="32"/>
        </w:rPr>
        <w:t>企业生产经营的油脂类、酒类食品要</w:t>
      </w:r>
      <w:r>
        <w:rPr>
          <w:rFonts w:eastAsia="仿宋_GB2312"/>
          <w:sz w:val="32"/>
          <w:szCs w:val="32"/>
        </w:rPr>
        <w:t>符合</w:t>
      </w:r>
      <w:r>
        <w:rPr>
          <w:rFonts w:hint="eastAsia" w:eastAsia="仿宋_GB2312"/>
          <w:sz w:val="32"/>
          <w:szCs w:val="32"/>
        </w:rPr>
        <w:t>国务院卫生行政部门关于塑化剂限量的</w:t>
      </w:r>
      <w:r>
        <w:rPr>
          <w:rFonts w:eastAsia="仿宋_GB2312"/>
          <w:sz w:val="32"/>
          <w:szCs w:val="32"/>
        </w:rPr>
        <w:t>规定</w:t>
      </w:r>
      <w:r>
        <w:rPr>
          <w:rFonts w:hint="eastAsia" w:eastAsia="仿宋_GB2312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白酒</w:t>
      </w:r>
      <w:r>
        <w:rPr>
          <w:rFonts w:hint="eastAsia" w:eastAsia="仿宋_GB2312"/>
          <w:sz w:val="32"/>
          <w:szCs w:val="32"/>
        </w:rPr>
        <w:t>和其他蒸馏酒</w:t>
      </w:r>
      <w:r>
        <w:rPr>
          <w:rFonts w:eastAsia="仿宋_GB2312"/>
          <w:sz w:val="32"/>
          <w:szCs w:val="32"/>
        </w:rPr>
        <w:t>中邻苯二甲酸二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α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hint="eastAsia" w:eastAsia="仿宋_GB2312"/>
          <w:sz w:val="32"/>
          <w:szCs w:val="32"/>
        </w:rPr>
        <w:t>乙基己酯）</w:t>
      </w:r>
      <w:r>
        <w:rPr>
          <w:rFonts w:eastAsia="仿宋_GB2312"/>
          <w:sz w:val="32"/>
          <w:szCs w:val="32"/>
        </w:rPr>
        <w:t>（DEHP）和邻苯二甲酸二丁酯（DBP）的含量分别不高于5 mg/kg和1 mg/kg</w:t>
      </w:r>
      <w:r>
        <w:rPr>
          <w:rFonts w:hint="eastAsia" w:eastAsia="仿宋_GB2312"/>
          <w:sz w:val="32"/>
          <w:szCs w:val="32"/>
        </w:rPr>
        <w:t>。油脂类、酒类</w:t>
      </w:r>
      <w:r>
        <w:rPr>
          <w:rFonts w:eastAsia="仿宋_GB2312"/>
          <w:sz w:val="32"/>
          <w:szCs w:val="32"/>
        </w:rPr>
        <w:t>食品中DEHP</w:t>
      </w:r>
      <w:r>
        <w:rPr>
          <w:rFonts w:hint="eastAsia" w:eastAsia="仿宋_GB2312"/>
          <w:sz w:val="32"/>
          <w:szCs w:val="32"/>
        </w:rPr>
        <w:t>（白酒、其他蒸馏酒除外）</w:t>
      </w:r>
      <w:r>
        <w:rPr>
          <w:rFonts w:eastAsia="仿宋_GB2312"/>
          <w:sz w:val="32"/>
          <w:szCs w:val="32"/>
        </w:rPr>
        <w:t>、邻苯二甲酸二异壬酯（DINP）、DBP</w:t>
      </w:r>
      <w:r>
        <w:rPr>
          <w:rFonts w:hint="eastAsia" w:eastAsia="仿宋_GB2312"/>
          <w:sz w:val="32"/>
          <w:szCs w:val="32"/>
        </w:rPr>
        <w:t>（白酒、其他蒸馏酒除外）</w:t>
      </w:r>
      <w:r>
        <w:rPr>
          <w:rFonts w:eastAsia="仿宋_GB2312"/>
          <w:sz w:val="32"/>
          <w:szCs w:val="32"/>
        </w:rPr>
        <w:t>最大残留量分别</w:t>
      </w:r>
      <w:r>
        <w:rPr>
          <w:rFonts w:hint="eastAsia" w:eastAsia="仿宋_GB2312"/>
          <w:sz w:val="32"/>
          <w:szCs w:val="32"/>
        </w:rPr>
        <w:t>为</w:t>
      </w:r>
      <w:r>
        <w:rPr>
          <w:rFonts w:eastAsia="仿宋_GB2312"/>
          <w:sz w:val="32"/>
          <w:szCs w:val="32"/>
        </w:rPr>
        <w:t>1.5 mg/kg、9 mg/kg、0.3 mg/kg</w:t>
      </w:r>
      <w:r>
        <w:rPr>
          <w:rFonts w:hint="eastAsia" w:eastAsia="仿宋_GB2312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五、加强监督管理。</w:t>
      </w:r>
      <w:r>
        <w:rPr>
          <w:rFonts w:hint="eastAsia" w:eastAsia="仿宋_GB2312"/>
          <w:sz w:val="32"/>
          <w:szCs w:val="32"/>
        </w:rPr>
        <w:t>各地市场监管部门要加强监督检查，重点检查食品生产经营者塑化剂防控措施落实情况，严查原辅料采购、生产加工、贮存、运输、销售等环节是否存在塑化剂污染风险，严查食品包装材料和盛放食品的容器是否含有塑化剂。加强风险监测，发现存在塑化剂污染风险问题的，要督促企业排查原因，彻底整改。严厉查处生产经营食品中塑化剂超过限量值的违法违规行为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六、</w:t>
      </w:r>
      <w:r>
        <w:rPr>
          <w:rFonts w:hint="eastAsia" w:eastAsia="仿宋_GB2312"/>
          <w:sz w:val="32"/>
          <w:szCs w:val="32"/>
        </w:rPr>
        <w:t>本公告所称油脂类食品包括食用植物油、食用油脂制品、食用动物油脂、含油调味料及富含油脂的食品等脂肪性食品，酒类食品包括白酒、食用酒精、葡萄酒、配制酒、黄酒、果酒和其他蒸馏酒等乙醇含量高于20%的食品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七、</w:t>
      </w:r>
      <w:r>
        <w:rPr>
          <w:rFonts w:hint="eastAsia" w:eastAsia="仿宋_GB2312"/>
          <w:sz w:val="32"/>
          <w:szCs w:val="32"/>
        </w:rPr>
        <w:t>本公告自发布之日起施行。</w:t>
      </w:r>
    </w:p>
    <w:p>
      <w:pPr>
        <w:tabs>
          <w:tab w:val="left" w:pos="5529"/>
        </w:tabs>
        <w:spacing w:line="560" w:lineRule="exact"/>
        <w:ind w:right="420" w:rightChars="200" w:firstLine="5385" w:firstLineChars="1683"/>
        <w:rPr>
          <w:rFonts w:eastAsia="仿宋_GB2312"/>
          <w:sz w:val="32"/>
          <w:szCs w:val="32"/>
        </w:rPr>
      </w:pPr>
    </w:p>
    <w:p>
      <w:pPr>
        <w:tabs>
          <w:tab w:val="left" w:pos="5529"/>
        </w:tabs>
        <w:spacing w:line="560" w:lineRule="exact"/>
        <w:ind w:right="420" w:rightChars="200" w:firstLine="5385" w:firstLineChars="1683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市场监管总局</w:t>
      </w:r>
    </w:p>
    <w:p>
      <w:pPr>
        <w:spacing w:line="560" w:lineRule="exact"/>
        <w:ind w:right="630" w:rightChars="300"/>
        <w:jc w:val="center"/>
      </w:pPr>
      <w:r>
        <w:rPr>
          <w:rFonts w:hint="eastAsia" w:eastAsia="仿宋_GB2312"/>
          <w:sz w:val="32"/>
          <w:szCs w:val="32"/>
        </w:rPr>
        <w:t xml:space="preserve">                            2019年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</w:rPr>
        <w:t>月  日</w:t>
      </w:r>
    </w:p>
    <w:sectPr>
      <w:footerReference r:id="rId3" w:type="default"/>
      <w:footerReference r:id="rId4" w:type="even"/>
      <w:pgSz w:w="11906" w:h="16838"/>
      <w:pgMar w:top="1985" w:right="1474" w:bottom="1644" w:left="1474" w:header="851" w:footer="1191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045" w:y="256"/>
      <w:ind w:right="210" w:rightChars="100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 PAGE  \* Arabic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  </w:t>
    </w:r>
  </w:p>
  <w:p>
    <w:pPr>
      <w:pStyle w:val="3"/>
      <w:spacing w:line="20" w:lineRule="exact"/>
      <w:ind w:right="35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532" w:y="256"/>
      <w:ind w:left="210" w:leftChars="100" w:firstLine="140" w:firstLineChars="50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 PAGE  \* Arabic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3"/>
      <w:spacing w:line="20" w:lineRule="exact"/>
      <w:ind w:right="35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0D53"/>
    <w:rsid w:val="00065272"/>
    <w:rsid w:val="000A33A5"/>
    <w:rsid w:val="00191C1D"/>
    <w:rsid w:val="001A6BA9"/>
    <w:rsid w:val="001E1BE1"/>
    <w:rsid w:val="00600D53"/>
    <w:rsid w:val="00886A9B"/>
    <w:rsid w:val="00916AF4"/>
    <w:rsid w:val="009B3CCB"/>
    <w:rsid w:val="009D6DA8"/>
    <w:rsid w:val="00A7551D"/>
    <w:rsid w:val="00A91CB5"/>
    <w:rsid w:val="00AB37A1"/>
    <w:rsid w:val="00B1691D"/>
    <w:rsid w:val="00B42AE4"/>
    <w:rsid w:val="00D51568"/>
    <w:rsid w:val="00DA7B88"/>
    <w:rsid w:val="00FF174E"/>
    <w:rsid w:val="05A9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C98646-4ABE-4B4B-BEDA-137CE4B1BB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SAMR</Company>
  <Pages>2</Pages>
  <Words>161</Words>
  <Characters>922</Characters>
  <Lines>7</Lines>
  <Paragraphs>2</Paragraphs>
  <TotalTime>573</TotalTime>
  <ScaleCrop>false</ScaleCrop>
  <LinksUpToDate>false</LinksUpToDate>
  <CharactersWithSpaces>1081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2019-07-29T00:57:00Z</dcterms:created>
  <dc:creator>陈飞</dc:creator>
  <cp:lastModifiedBy>路漫漫</cp:lastModifiedBy>
  <dcterms:modified xsi:type="dcterms:W3CDTF">2019-09-25T07:19:44Z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