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AB" w:rsidRPr="00260A39" w:rsidRDefault="00AB4A02" w:rsidP="00AB4A02">
      <w:pPr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 xml:space="preserve">附件2 </w:t>
      </w:r>
      <w:r w:rsidR="00260A39" w:rsidRPr="00260A39">
        <w:rPr>
          <w:rFonts w:ascii="方正小标宋简体" w:eastAsia="方正小标宋简体" w:hint="eastAsia"/>
          <w:sz w:val="32"/>
          <w:szCs w:val="32"/>
        </w:rPr>
        <w:t>《浙江省中药炮制规范》2015年版勘误表</w:t>
      </w:r>
      <w:r w:rsidR="001B24DC">
        <w:rPr>
          <w:rFonts w:ascii="方正小标宋简体" w:eastAsia="方正小标宋简体" w:hint="eastAsia"/>
          <w:sz w:val="32"/>
          <w:szCs w:val="32"/>
        </w:rPr>
        <w:t>（征求意见稿）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46"/>
        <w:gridCol w:w="1347"/>
        <w:gridCol w:w="4062"/>
        <w:gridCol w:w="4224"/>
        <w:gridCol w:w="3195"/>
      </w:tblGrid>
      <w:tr w:rsidR="00260A39" w:rsidRPr="00260A39" w:rsidTr="00260A39">
        <w:trPr>
          <w:trHeight w:val="405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A39" w:rsidRPr="00260A39" w:rsidRDefault="00260A39" w:rsidP="00260A39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60A3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品种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A39" w:rsidRPr="00260A39" w:rsidRDefault="00260A39" w:rsidP="00260A39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60A3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页码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A39" w:rsidRPr="00260A39" w:rsidRDefault="00260A39" w:rsidP="00260A39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60A3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原文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A39" w:rsidRPr="00260A39" w:rsidRDefault="00260A39" w:rsidP="00260A39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60A3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勘误后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A39" w:rsidRPr="00260A39" w:rsidRDefault="00260A39" w:rsidP="00260A39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60A3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修改理由</w:t>
            </w:r>
          </w:p>
        </w:tc>
      </w:tr>
      <w:tr w:rsidR="00260A39" w:rsidRPr="00260A39" w:rsidTr="00260A39">
        <w:trPr>
          <w:trHeight w:val="57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9" w:rsidRPr="00260A39" w:rsidRDefault="00260A39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三七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9" w:rsidRPr="00260A39" w:rsidRDefault="00260A39" w:rsidP="00260A3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9" w:rsidRPr="00260A39" w:rsidRDefault="00260A39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缺【性味与归经】项</w:t>
            </w:r>
            <w:r w:rsidR="008B3C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9" w:rsidRPr="00260A39" w:rsidRDefault="00260A39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【性味与归经】甘、微苦，温。归肝、胃经。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9" w:rsidRPr="00260A39" w:rsidRDefault="00260A39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缺【性味与归经】项，照药典补充。</w:t>
            </w:r>
          </w:p>
        </w:tc>
      </w:tr>
      <w:tr w:rsidR="00260A39" w:rsidRPr="00260A39" w:rsidTr="00260A39">
        <w:trPr>
          <w:trHeight w:val="238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9" w:rsidRPr="00260A39" w:rsidRDefault="00260A39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三叶青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9" w:rsidRPr="00260A39" w:rsidRDefault="00260A39" w:rsidP="00260A3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9" w:rsidRPr="00260A39" w:rsidRDefault="00260A39" w:rsidP="00260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【来源】产于广西、云南，本省有产。【用法与用量】３～６ｇ；鲜三叶青９～１５ｇ</w:t>
            </w:r>
            <w:r w:rsidR="008B3C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9" w:rsidRPr="00260A39" w:rsidRDefault="00260A39" w:rsidP="00260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【来源】主产于浙江、江西和福建。【用法与用量】３～６ｇ；鲜三叶青９～１５ｇ；煎服或研粉吞服、冲服。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9" w:rsidRPr="00260A39" w:rsidRDefault="00260A39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三叶青为新“浙八味”品种，中国植物志和浙江植物志记载浙江排位第二，在广西、云南前面，且85版浙江炮</w:t>
            </w: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规</w:t>
            </w:r>
            <w:proofErr w:type="gram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仅浙江有产，没有广西云南产地收载。</w:t>
            </w: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三叶青粉临床</w:t>
            </w:r>
            <w:proofErr w:type="gram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使用较多，应明确用法用量。</w:t>
            </w:r>
          </w:p>
        </w:tc>
      </w:tr>
      <w:tr w:rsidR="00B55338" w:rsidRPr="00260A39" w:rsidTr="00260A39">
        <w:trPr>
          <w:trHeight w:val="57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38" w:rsidRPr="00260A39" w:rsidRDefault="00B55338" w:rsidP="004E2C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川贝母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38" w:rsidRPr="00260A39" w:rsidRDefault="00B55338" w:rsidP="004E2CD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38" w:rsidRPr="00260A39" w:rsidRDefault="00B55338" w:rsidP="00B5533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【功能与主治】</w:t>
            </w:r>
            <w:r w:rsidR="00E334D3">
              <w:rPr>
                <w:rFonts w:ascii="SSJ-PK74820000003-Identity-H" w:eastAsia="SSJ-PK74820000003-Identity-H" w:cs="SSJ-PK74820000003-Identity-H" w:hint="eastAsia"/>
                <w:kern w:val="0"/>
                <w:sz w:val="22"/>
              </w:rPr>
              <w:t>清热润肺</w:t>
            </w:r>
            <w:r w:rsidR="00E334D3">
              <w:rPr>
                <w:rFonts w:ascii="H-SS9-PK7482000000d-Identity-H" w:eastAsia="H-SS9-PK7482000000d-Identity-H" w:cs="H-SS9-PK7482000000d-Identity-H" w:hint="eastAsia"/>
                <w:kern w:val="0"/>
                <w:sz w:val="22"/>
              </w:rPr>
              <w:t>，</w:t>
            </w:r>
            <w:r w:rsidR="00E334D3">
              <w:rPr>
                <w:rFonts w:ascii="SSJ-PK74820000003-Identity-H" w:eastAsia="SSJ-PK74820000003-Identity-H" w:cs="SSJ-PK74820000003-Identity-H" w:hint="eastAsia"/>
                <w:kern w:val="0"/>
                <w:sz w:val="22"/>
              </w:rPr>
              <w:t>化痰止咳</w:t>
            </w:r>
            <w:r w:rsidR="00E334D3">
              <w:rPr>
                <w:rFonts w:ascii="H-SS9-PK7482000000d-Identity-H" w:eastAsia="H-SS9-PK7482000000d-Identity-H" w:cs="H-SS9-PK7482000000d-Identity-H" w:hint="eastAsia"/>
                <w:kern w:val="0"/>
                <w:sz w:val="22"/>
              </w:rPr>
              <w:t>。</w:t>
            </w:r>
            <w:r w:rsidR="00E334D3">
              <w:rPr>
                <w:rFonts w:ascii="SSJ-PK74820000003-Identity-H" w:eastAsia="SSJ-PK74820000003-Identity-H" w:cs="SSJ-PK74820000003-Identity-H" w:hint="eastAsia"/>
                <w:kern w:val="0"/>
                <w:sz w:val="22"/>
              </w:rPr>
              <w:t>用于肺热燥咳</w:t>
            </w:r>
            <w:r w:rsidR="00E334D3">
              <w:rPr>
                <w:rFonts w:ascii="H-SS9-PK7482000000d-Identity-H" w:eastAsia="H-SS9-PK7482000000d-Identity-H" w:cs="H-SS9-PK7482000000d-Identity-H" w:hint="eastAsia"/>
                <w:kern w:val="0"/>
                <w:sz w:val="22"/>
              </w:rPr>
              <w:t>，</w:t>
            </w:r>
            <w:r w:rsidR="00E334D3">
              <w:rPr>
                <w:rFonts w:ascii="SSJ-PK74820000003-Identity-H" w:eastAsia="SSJ-PK74820000003-Identity-H" w:cs="SSJ-PK74820000003-Identity-H" w:hint="eastAsia"/>
                <w:kern w:val="0"/>
                <w:sz w:val="22"/>
              </w:rPr>
              <w:t>干咳少痰</w:t>
            </w:r>
            <w:r w:rsidR="00E334D3">
              <w:rPr>
                <w:rFonts w:ascii="H-SS9-PK7482000000d-Identity-H" w:eastAsia="H-SS9-PK7482000000d-Identity-H" w:cs="H-SS9-PK7482000000d-Identity-H" w:hint="eastAsia"/>
                <w:kern w:val="0"/>
                <w:sz w:val="22"/>
              </w:rPr>
              <w:t>，</w:t>
            </w:r>
            <w:r w:rsidR="00E334D3">
              <w:rPr>
                <w:rFonts w:ascii="SSJ-PK74820000003-Identity-H" w:eastAsia="SSJ-PK74820000003-Identity-H" w:cs="SSJ-PK74820000003-Identity-H" w:hint="eastAsia"/>
                <w:kern w:val="0"/>
                <w:sz w:val="22"/>
              </w:rPr>
              <w:t>阴虚</w:t>
            </w:r>
            <w:proofErr w:type="gramStart"/>
            <w:r w:rsidR="00E334D3">
              <w:rPr>
                <w:rFonts w:ascii="SSJ-PK74820000003-Identity-H" w:eastAsia="SSJ-PK74820000003-Identity-H" w:cs="SSJ-PK74820000003-Identity-H" w:hint="eastAsia"/>
                <w:kern w:val="0"/>
                <w:sz w:val="22"/>
              </w:rPr>
              <w:t>劳嗽</w:t>
            </w:r>
            <w:proofErr w:type="gramEnd"/>
            <w:r w:rsidR="00E334D3">
              <w:rPr>
                <w:rFonts w:ascii="H-SS9-PK7482000000d-Identity-H" w:eastAsia="H-SS9-PK7482000000d-Identity-H" w:cs="H-SS9-PK7482000000d-Identity-H" w:hint="eastAsia"/>
                <w:kern w:val="0"/>
                <w:sz w:val="22"/>
              </w:rPr>
              <w:t>，</w:t>
            </w:r>
            <w:r w:rsidR="00E334D3">
              <w:rPr>
                <w:rFonts w:ascii="SSJ-PK74820000003-Identity-H" w:eastAsia="SSJ-PK74820000003-Identity-H" w:cs="SSJ-PK74820000003-Identity-H" w:hint="eastAsia"/>
                <w:kern w:val="0"/>
                <w:sz w:val="22"/>
              </w:rPr>
              <w:t>咯痰带血</w:t>
            </w:r>
            <w:r w:rsidR="00E334D3">
              <w:rPr>
                <w:rFonts w:ascii="H-SS9-PK7482000000d-Identity-H" w:eastAsia="H-SS9-PK7482000000d-Identity-H" w:cs="H-SS9-PK7482000000d-Identity-H" w:hint="eastAsia"/>
                <w:kern w:val="0"/>
                <w:sz w:val="22"/>
              </w:rPr>
              <w:t>。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38" w:rsidRPr="00260A39" w:rsidRDefault="00E334D3" w:rsidP="00F86B4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【功能与主治】</w:t>
            </w:r>
            <w:r>
              <w:rPr>
                <w:rFonts w:ascii="SSJ-PK74820000003-Identity-H" w:eastAsia="SSJ-PK74820000003-Identity-H" w:cs="SSJ-PK74820000003-Identity-H" w:hint="eastAsia"/>
                <w:kern w:val="0"/>
                <w:sz w:val="22"/>
              </w:rPr>
              <w:t>清热润肺</w:t>
            </w:r>
            <w:r>
              <w:rPr>
                <w:rFonts w:ascii="H-SS9-PK7482000000d-Identity-H" w:eastAsia="H-SS9-PK7482000000d-Identity-H" w:cs="H-SS9-PK7482000000d-Identity-H" w:hint="eastAsia"/>
                <w:kern w:val="0"/>
                <w:sz w:val="22"/>
              </w:rPr>
              <w:t>，</w:t>
            </w:r>
            <w:r>
              <w:rPr>
                <w:rFonts w:ascii="SSJ-PK74820000003-Identity-H" w:eastAsia="SSJ-PK74820000003-Identity-H" w:cs="SSJ-PK74820000003-Identity-H" w:hint="eastAsia"/>
                <w:kern w:val="0"/>
                <w:sz w:val="22"/>
              </w:rPr>
              <w:t>化痰止咳</w:t>
            </w:r>
            <w:r w:rsidR="00F86B4E">
              <w:rPr>
                <w:rFonts w:ascii="SSJ-PK74820000003-Identity-H" w:eastAsia="SSJ-PK74820000003-Identity-H" w:cs="SSJ-PK74820000003-Identity-H" w:hint="eastAsia"/>
                <w:kern w:val="0"/>
                <w:sz w:val="22"/>
              </w:rPr>
              <w:t>，散结消</w:t>
            </w:r>
            <w:proofErr w:type="gramStart"/>
            <w:r w:rsidR="00F86B4E">
              <w:rPr>
                <w:rFonts w:ascii="SSJ-PK74820000003-Identity-H" w:eastAsia="SSJ-PK74820000003-Identity-H" w:cs="SSJ-PK74820000003-Identity-H" w:hint="eastAsia"/>
                <w:kern w:val="0"/>
                <w:sz w:val="22"/>
              </w:rPr>
              <w:t>痈</w:t>
            </w:r>
            <w:proofErr w:type="gramEnd"/>
            <w:r>
              <w:rPr>
                <w:rFonts w:ascii="H-SS9-PK7482000000d-Identity-H" w:eastAsia="H-SS9-PK7482000000d-Identity-H" w:cs="H-SS9-PK7482000000d-Identity-H" w:hint="eastAsia"/>
                <w:kern w:val="0"/>
                <w:sz w:val="22"/>
              </w:rPr>
              <w:t>。</w:t>
            </w:r>
            <w:r>
              <w:rPr>
                <w:rFonts w:ascii="SSJ-PK74820000003-Identity-H" w:eastAsia="SSJ-PK74820000003-Identity-H" w:cs="SSJ-PK74820000003-Identity-H" w:hint="eastAsia"/>
                <w:kern w:val="0"/>
                <w:sz w:val="22"/>
              </w:rPr>
              <w:t>用于肺热燥咳</w:t>
            </w:r>
            <w:r>
              <w:rPr>
                <w:rFonts w:ascii="H-SS9-PK7482000000d-Identity-H" w:eastAsia="H-SS9-PK7482000000d-Identity-H" w:cs="H-SS9-PK7482000000d-Identity-H" w:hint="eastAsia"/>
                <w:kern w:val="0"/>
                <w:sz w:val="22"/>
              </w:rPr>
              <w:t>，</w:t>
            </w:r>
            <w:r>
              <w:rPr>
                <w:rFonts w:ascii="SSJ-PK74820000003-Identity-H" w:eastAsia="SSJ-PK74820000003-Identity-H" w:cs="SSJ-PK74820000003-Identity-H" w:hint="eastAsia"/>
                <w:kern w:val="0"/>
                <w:sz w:val="22"/>
              </w:rPr>
              <w:t>干咳少痰</w:t>
            </w:r>
            <w:r>
              <w:rPr>
                <w:rFonts w:ascii="H-SS9-PK7482000000d-Identity-H" w:eastAsia="H-SS9-PK7482000000d-Identity-H" w:cs="H-SS9-PK7482000000d-Identity-H" w:hint="eastAsia"/>
                <w:kern w:val="0"/>
                <w:sz w:val="22"/>
              </w:rPr>
              <w:t>，</w:t>
            </w:r>
            <w:r>
              <w:rPr>
                <w:rFonts w:ascii="SSJ-PK74820000003-Identity-H" w:eastAsia="SSJ-PK74820000003-Identity-H" w:cs="SSJ-PK74820000003-Identity-H" w:hint="eastAsia"/>
                <w:kern w:val="0"/>
                <w:sz w:val="22"/>
              </w:rPr>
              <w:t>阴虚</w:t>
            </w:r>
            <w:proofErr w:type="gramStart"/>
            <w:r>
              <w:rPr>
                <w:rFonts w:ascii="SSJ-PK74820000003-Identity-H" w:eastAsia="SSJ-PK74820000003-Identity-H" w:cs="SSJ-PK74820000003-Identity-H" w:hint="eastAsia"/>
                <w:kern w:val="0"/>
                <w:sz w:val="22"/>
              </w:rPr>
              <w:t>劳嗽</w:t>
            </w:r>
            <w:proofErr w:type="gramEnd"/>
            <w:r>
              <w:rPr>
                <w:rFonts w:ascii="H-SS9-PK7482000000d-Identity-H" w:eastAsia="H-SS9-PK7482000000d-Identity-H" w:cs="H-SS9-PK7482000000d-Identity-H" w:hint="eastAsia"/>
                <w:kern w:val="0"/>
                <w:sz w:val="22"/>
              </w:rPr>
              <w:t>，</w:t>
            </w:r>
            <w:r>
              <w:rPr>
                <w:rFonts w:ascii="SSJ-PK74820000003-Identity-H" w:eastAsia="SSJ-PK74820000003-Identity-H" w:cs="SSJ-PK74820000003-Identity-H" w:hint="eastAsia"/>
                <w:kern w:val="0"/>
                <w:sz w:val="22"/>
              </w:rPr>
              <w:t>痰</w:t>
            </w:r>
            <w:r w:rsidR="00F86B4E">
              <w:rPr>
                <w:rFonts w:ascii="SSJ-PK74820000003-Identity-H" w:eastAsia="SSJ-PK74820000003-Identity-H" w:cs="SSJ-PK74820000003-Identity-H" w:hint="eastAsia"/>
                <w:kern w:val="0"/>
                <w:sz w:val="22"/>
              </w:rPr>
              <w:t>中</w:t>
            </w:r>
            <w:r>
              <w:rPr>
                <w:rFonts w:ascii="SSJ-PK74820000003-Identity-H" w:eastAsia="SSJ-PK74820000003-Identity-H" w:cs="SSJ-PK74820000003-Identity-H" w:hint="eastAsia"/>
                <w:kern w:val="0"/>
                <w:sz w:val="22"/>
              </w:rPr>
              <w:t>带血</w:t>
            </w:r>
            <w:r w:rsidR="00F86B4E">
              <w:rPr>
                <w:rFonts w:ascii="SSJ-PK74820000003-Identity-H" w:eastAsia="SSJ-PK74820000003-Identity-H" w:cs="SSJ-PK74820000003-Identity-H" w:hint="eastAsia"/>
                <w:kern w:val="0"/>
                <w:sz w:val="22"/>
              </w:rPr>
              <w:t>，</w:t>
            </w:r>
            <w:r w:rsidR="00F86B4E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瘰疬</w:t>
            </w:r>
            <w:r w:rsidR="00F86B4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，乳痈，肺</w:t>
            </w:r>
            <w:proofErr w:type="gramStart"/>
            <w:r w:rsidR="00F86B4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痈</w:t>
            </w:r>
            <w:proofErr w:type="gramEnd"/>
            <w:r>
              <w:rPr>
                <w:rFonts w:ascii="H-SS9-PK7482000000d-Identity-H" w:eastAsia="H-SS9-PK7482000000d-Identity-H" w:cs="H-SS9-PK7482000000d-Identity-H" w:hint="eastAsia"/>
                <w:kern w:val="0"/>
                <w:sz w:val="22"/>
              </w:rPr>
              <w:t>。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38" w:rsidRPr="00260A39" w:rsidRDefault="00E334D3" w:rsidP="00E334D3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按《中国药典》2015年版川贝母修改。</w:t>
            </w:r>
          </w:p>
        </w:tc>
      </w:tr>
      <w:tr w:rsidR="00B55338" w:rsidRPr="00260A39" w:rsidTr="00260A39">
        <w:trPr>
          <w:trHeight w:val="57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毛冬青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【功能与主治】凉血，活血，通脉，消炎解毒。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【功能与主治】凉血，活血，通脉，清热解毒。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kern w:val="0"/>
                <w:sz w:val="22"/>
              </w:rPr>
              <w:t>消炎，是西医概念</w:t>
            </w:r>
            <w:r>
              <w:rPr>
                <w:rFonts w:ascii="等线" w:eastAsia="等线" w:hAnsi="等线" w:cs="宋体" w:hint="eastAsia"/>
                <w:kern w:val="0"/>
                <w:sz w:val="22"/>
              </w:rPr>
              <w:t>。</w:t>
            </w:r>
          </w:p>
        </w:tc>
      </w:tr>
      <w:tr w:rsidR="00B55338" w:rsidRPr="00260A39" w:rsidTr="00260A39">
        <w:trPr>
          <w:trHeight w:val="199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麦冬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浙麦冬【鉴别】（2）麦冬薄层色谱：同《中国药典》麦冬。          </w:t>
            </w:r>
          </w:p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炒浙麦冬</w:t>
            </w:r>
            <w:proofErr w:type="gram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、炒麦冬【鉴别】（麦冬薄层色谱）同《中国药典》麦冬。</w:t>
            </w: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黛浙麦冬</w:t>
            </w:r>
            <w:proofErr w:type="gram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、黛麦冬【鉴别】（麦冬薄层色谱）【检查】同《中国药典》麦冬。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6E" w:rsidRDefault="00B55338" w:rsidP="00260A3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浙麦冬【鉴别】（2）薄层色谱：同《中国药典》麦冬。                             </w:t>
            </w: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炒浙麦冬</w:t>
            </w:r>
            <w:proofErr w:type="gram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、炒麦冬【鉴别】（薄层色谱）同《中国药典》麦冬。             </w:t>
            </w:r>
          </w:p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黛浙麦冬、黛麦冬【鉴别】（薄层色谱）【检查】同《中国药典》麦冬。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检验项目应适用浙麦冬和麦冬，而非仅仅麦冬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B55338" w:rsidRPr="00260A39" w:rsidTr="00260A39">
        <w:trPr>
          <w:trHeight w:val="114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苎麻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【来源】秋、</w:t>
            </w: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冬二季</w:t>
            </w:r>
            <w:proofErr w:type="gram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采挖，洗净，</w:t>
            </w: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趁鲜切厚片</w:t>
            </w:r>
            <w:proofErr w:type="gram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，干燥。                          【炮制】取原药，除去杂质，筛去灰屑。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kern w:val="0"/>
                <w:sz w:val="22"/>
              </w:rPr>
              <w:t>【来源】秋、</w:t>
            </w:r>
            <w:proofErr w:type="gramStart"/>
            <w:r w:rsidRPr="00260A39">
              <w:rPr>
                <w:rFonts w:ascii="等线" w:eastAsia="等线" w:hAnsi="等线" w:cs="宋体" w:hint="eastAsia"/>
                <w:kern w:val="0"/>
                <w:sz w:val="22"/>
              </w:rPr>
              <w:t>冬二季</w:t>
            </w:r>
            <w:proofErr w:type="gramEnd"/>
            <w:r w:rsidRPr="00260A39">
              <w:rPr>
                <w:rFonts w:ascii="等线" w:eastAsia="等线" w:hAnsi="等线" w:cs="宋体" w:hint="eastAsia"/>
                <w:kern w:val="0"/>
                <w:sz w:val="22"/>
              </w:rPr>
              <w:t>采挖，洗净，或</w:t>
            </w:r>
            <w:proofErr w:type="gramStart"/>
            <w:r w:rsidRPr="00260A39">
              <w:rPr>
                <w:rFonts w:ascii="等线" w:eastAsia="等线" w:hAnsi="等线" w:cs="宋体" w:hint="eastAsia"/>
                <w:kern w:val="0"/>
                <w:sz w:val="22"/>
              </w:rPr>
              <w:t>趁鲜切厚片</w:t>
            </w:r>
            <w:proofErr w:type="gramEnd"/>
            <w:r w:rsidRPr="00260A39">
              <w:rPr>
                <w:rFonts w:ascii="等线" w:eastAsia="等线" w:hAnsi="等线" w:cs="宋体" w:hint="eastAsia"/>
                <w:kern w:val="0"/>
                <w:sz w:val="22"/>
              </w:rPr>
              <w:t>，干燥。                         【炮制】取原药，洗净，润软，切厚片，干燥；产地已切片者，除去杂质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苎麻商品规格有未切片的根，应作为原料收入，并制定饮片切片方法。</w:t>
            </w:r>
          </w:p>
        </w:tc>
      </w:tr>
      <w:tr w:rsidR="00B55338" w:rsidRPr="00260A39" w:rsidTr="00260A39">
        <w:trPr>
          <w:trHeight w:val="70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贯众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【处方应付】写贯众、生贯众…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【用法与用量】4.5～9g。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【用法与用量】4.5～9g。</w:t>
            </w: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【处方应付】写贯众、生贯众…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项目顺序颠倒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B55338" w:rsidRPr="00260A39" w:rsidTr="00260A39">
        <w:trPr>
          <w:trHeight w:val="114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重楼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【鉴别】照《中国药典》重楼（含量测定）项下的方法试验，供试品色谱中应呈现与对照品色谱峰保留时间相同的色谱峰。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【鉴别】照《中国药典》重楼（薄层色谱鉴别）项下的方法试验，供</w:t>
            </w:r>
            <w:proofErr w:type="gramStart"/>
            <w:r w:rsidRPr="00260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试品主</w:t>
            </w:r>
            <w:proofErr w:type="gramEnd"/>
            <w:r w:rsidRPr="00260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斑点颜色和位置与</w:t>
            </w:r>
            <w:proofErr w:type="gramStart"/>
            <w:r w:rsidRPr="00260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</w:t>
            </w:r>
            <w:proofErr w:type="gramEnd"/>
            <w:r w:rsidRPr="00260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对照药材相同。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原标准4个对照品在样品检验中不能同时出现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B55338" w:rsidRPr="00260A39" w:rsidTr="00260A39">
        <w:trPr>
          <w:trHeight w:val="165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温山药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检查项，缺少二氧化硫残留量的规定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【检查】二氧化硫残留量 照 二 氧 化 硫 残 留 量 测 定 法 （《中国药典》通则 2331)测 定 ，不得过400mg/kg。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补充二氧化硫残留量限度要求，限度参照中国药典山药项下毛山药和光山药的限度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B55338" w:rsidRPr="00260A39" w:rsidTr="00260A39">
        <w:trPr>
          <w:trHeight w:val="57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山茱萸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【含量测定】马钱</w:t>
            </w: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苷</w:t>
            </w:r>
            <w:proofErr w:type="gram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同«中国药典»酒</w:t>
            </w: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萸</w:t>
            </w:r>
            <w:proofErr w:type="gram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肉.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【含量测定】同«中国药典»酒</w:t>
            </w: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萸</w:t>
            </w:r>
            <w:proofErr w:type="gram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肉.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含量测定漏了一个指标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B55338" w:rsidRPr="00260A39" w:rsidTr="00260A39">
        <w:trPr>
          <w:trHeight w:val="85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红曲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【含量测定】…其中开环</w:t>
            </w: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洛</w:t>
            </w:r>
            <w:proofErr w:type="gram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伐他</w:t>
            </w: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汀</w:t>
            </w:r>
            <w:proofErr w:type="gram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峰面积不得低于</w:t>
            </w: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洛</w:t>
            </w:r>
            <w:proofErr w:type="gram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伐他</w:t>
            </w: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汀</w:t>
            </w:r>
            <w:proofErr w:type="gram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峰面积的５％.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【含量测定】…其中开环</w:t>
            </w: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洛</w:t>
            </w:r>
            <w:proofErr w:type="gram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伐他</w:t>
            </w: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汀</w:t>
            </w:r>
            <w:proofErr w:type="gram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峰面积不得低于</w:t>
            </w: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洛</w:t>
            </w:r>
            <w:proofErr w:type="gram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伐他</w:t>
            </w: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汀</w:t>
            </w:r>
            <w:proofErr w:type="gram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和开环</w:t>
            </w: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洛</w:t>
            </w:r>
            <w:proofErr w:type="gram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伐他</w:t>
            </w: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汀</w:t>
            </w:r>
            <w:proofErr w:type="gram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峰面积总和的５％.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峰面积比值表述有误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B55338" w:rsidRPr="00260A39" w:rsidTr="00260A39">
        <w:trPr>
          <w:trHeight w:val="57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豆蔻壳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338" w:rsidRPr="00260A39" w:rsidRDefault="00B55338" w:rsidP="00260A3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【来源】本品为…的干燥成熟果实。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【来源】本品为…的干燥成熟果实的果皮。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药用部位有误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B55338" w:rsidRPr="00260A39" w:rsidTr="00260A39">
        <w:trPr>
          <w:trHeight w:val="57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胡椒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胡椒粉【炮制】….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D61C9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删除胡椒粉饮片。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胡椒粉质量不易控制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B55338" w:rsidRPr="00260A39" w:rsidTr="00260A39">
        <w:trPr>
          <w:trHeight w:val="81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路路通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A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【炮制】炒路路通 取路路通饮片，照清炒法炒至表面微具焦斑时，取出，摊凉。去刺，筛净。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60A39">
              <w:rPr>
                <w:rFonts w:ascii="宋体" w:eastAsia="宋体" w:hAnsi="宋体" w:cs="宋体" w:hint="eastAsia"/>
                <w:kern w:val="0"/>
                <w:sz w:val="22"/>
              </w:rPr>
              <w:t>【炮制】炒路路通 取路路通饮片，照清炒法炒至表面微具焦斑时，取出，摊凉。筛净。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炒制过程中，“刺”已经自动脱落，毋需去刺。</w:t>
            </w:r>
          </w:p>
        </w:tc>
      </w:tr>
      <w:tr w:rsidR="00B55338" w:rsidRPr="00260A39" w:rsidTr="00260A39">
        <w:trPr>
          <w:trHeight w:val="142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薜荔</w:t>
            </w:r>
            <w:proofErr w:type="gram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果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薜荔</w:t>
            </w:r>
            <w:proofErr w:type="gram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果 Piliɡ</w:t>
            </w:r>
            <w:proofErr w:type="spell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uo</w:t>
            </w:r>
            <w:proofErr w:type="spell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                                 【来源】 本品为桑科植物</w:t>
            </w: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薜荔</w:t>
            </w:r>
            <w:proofErr w:type="spellStart"/>
            <w:proofErr w:type="gram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Ficus</w:t>
            </w:r>
            <w:proofErr w:type="spell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pumila</w:t>
            </w:r>
            <w:proofErr w:type="spell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L. 的干燥不孕花序托。本省有产。秋季采收，自中部纵剖两片，干燥。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薜荔</w:t>
            </w:r>
            <w:proofErr w:type="gram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果 </w:t>
            </w:r>
            <w:proofErr w:type="spell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Biliguo</w:t>
            </w:r>
            <w:proofErr w:type="spell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                                  【来源】 本品为桑科植物</w:t>
            </w: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薜荔</w:t>
            </w:r>
            <w:proofErr w:type="spellStart"/>
            <w:proofErr w:type="gram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Ficus</w:t>
            </w:r>
            <w:proofErr w:type="spell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pumila</w:t>
            </w:r>
            <w:proofErr w:type="spell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L. 的干燥不孕花序托。本省有产。秋季采收，或自中部纵剖两片，干燥。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拼音有误                                </w:t>
            </w: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薜荔</w:t>
            </w:r>
            <w:proofErr w:type="gram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商品有切瓣和完整果实二个规格。</w:t>
            </w:r>
          </w:p>
        </w:tc>
      </w:tr>
      <w:tr w:rsidR="00B55338" w:rsidRPr="00260A39" w:rsidTr="00260A39">
        <w:trPr>
          <w:trHeight w:val="220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石上柏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【性状】...</w:t>
            </w: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茎</w:t>
            </w:r>
            <w:proofErr w:type="gram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较少，……有的可见分枝，具稀疏而整齐排列的叶或叶痕。叶为羽状复叶…顶端锐尖。孢子囊……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【性状】...可见根托。</w:t>
            </w: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茎</w:t>
            </w:r>
            <w:proofErr w:type="gram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较少，……有的可见羽状分枝，具整齐排列的叶或叶痕。叶异型，主茎和分枝上均交互排列；中叶两列，长圆状卵形或卵状椭圆形，覆瓦状排列，背部明显龙骨状隆起；侧叶两列，长圆状</w:t>
            </w: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镰</w:t>
            </w:r>
            <w:proofErr w:type="gram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形，略斜升，排列紧密。孢子囊……。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描述有错误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B55338" w:rsidRPr="00260A39" w:rsidTr="00260A39">
        <w:trPr>
          <w:trHeight w:val="67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竹叶地丁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缺少【别名】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加【别名】瓜子金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中国药典同品种名称为瓜子金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B55338" w:rsidRPr="00260A39" w:rsidTr="00260A39">
        <w:trPr>
          <w:trHeight w:val="84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岩柏草</w:t>
            </w:r>
            <w:proofErr w:type="gramEnd"/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【来源】 …</w:t>
            </w: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或毛枝卷柏</w:t>
            </w:r>
            <w:proofErr w:type="spellStart"/>
            <w:proofErr w:type="gram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Selaginella</w:t>
            </w:r>
            <w:proofErr w:type="spell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braunii</w:t>
            </w:r>
            <w:proofErr w:type="spell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Bak</w:t>
            </w:r>
            <w:proofErr w:type="spell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. 的干燥全草.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【来源】 …或布朗卷柏</w:t>
            </w:r>
            <w:proofErr w:type="spell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Selaginella</w:t>
            </w:r>
            <w:proofErr w:type="spell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braunii</w:t>
            </w:r>
            <w:proofErr w:type="spell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Bak</w:t>
            </w:r>
            <w:proofErr w:type="spell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. 的干燥全草.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kern w:val="0"/>
                <w:sz w:val="22"/>
              </w:rPr>
              <w:t>根据现版植物志作中文名修改</w:t>
            </w:r>
            <w:r>
              <w:rPr>
                <w:rFonts w:ascii="等线" w:eastAsia="等线" w:hAnsi="等线" w:cs="宋体" w:hint="eastAsia"/>
                <w:kern w:val="0"/>
                <w:sz w:val="22"/>
              </w:rPr>
              <w:t>。</w:t>
            </w:r>
          </w:p>
        </w:tc>
      </w:tr>
      <w:tr w:rsidR="00B55338" w:rsidRPr="00260A39" w:rsidTr="00260A39">
        <w:trPr>
          <w:trHeight w:val="79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肺形草</w:t>
            </w:r>
            <w:proofErr w:type="gramEnd"/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【性状】…茎生叶对生，….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3B54A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【</w:t>
            </w: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性状】…茎生叶对生，叶柄长不超过1cm，….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叶柄长度是区别于混淆品的特征。</w:t>
            </w:r>
          </w:p>
        </w:tc>
      </w:tr>
      <w:tr w:rsidR="00B55338" w:rsidRPr="00260A39" w:rsidTr="00260A39">
        <w:trPr>
          <w:trHeight w:val="7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猪殃</w:t>
            </w: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殃</w:t>
            </w:r>
            <w:proofErr w:type="gramEnd"/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【性状】全草纤细，表面灰绿或绿褐色…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【性状】</w:t>
            </w: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呈段状</w:t>
            </w:r>
            <w:proofErr w:type="gram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，茎纤细，全体灰绿或绿褐色….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已切段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B55338" w:rsidRPr="00260A39" w:rsidTr="00260A39">
        <w:trPr>
          <w:trHeight w:val="237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贝母花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【来源】本品为浙贝母...带花梗的花。                                                   【性状】...花梗长1~2cm。花被片6，黄绿色至棕黄色，...长</w:t>
            </w: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倒卵形至卵圆形</w:t>
            </w:r>
            <w:proofErr w:type="gram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，长2~3cm，宽约2cm。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kern w:val="0"/>
                <w:sz w:val="22"/>
              </w:rPr>
              <w:t>【来源】本品为浙贝母..的花。                       【性状】...可见花梗；花被片6，黄绿色至黄棕色，长</w:t>
            </w:r>
            <w:proofErr w:type="gramStart"/>
            <w:r w:rsidRPr="00260A39">
              <w:rPr>
                <w:rFonts w:ascii="等线" w:eastAsia="等线" w:hAnsi="等线" w:cs="宋体" w:hint="eastAsia"/>
                <w:kern w:val="0"/>
                <w:sz w:val="22"/>
              </w:rPr>
              <w:t>倒卵形至卵圆形</w:t>
            </w:r>
            <w:proofErr w:type="gramEnd"/>
            <w:r w:rsidRPr="00260A39">
              <w:rPr>
                <w:rFonts w:ascii="等线" w:eastAsia="等线" w:hAnsi="等线" w:cs="宋体" w:hint="eastAsia"/>
                <w:kern w:val="0"/>
                <w:sz w:val="22"/>
              </w:rPr>
              <w:t>，长1~3cm，宽约1cm；外表面有棕色条纹。                                      花蕾多呈闭合状。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来源和性状需修改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</w:t>
            </w:r>
          </w:p>
        </w:tc>
      </w:tr>
      <w:tr w:rsidR="00B55338" w:rsidRPr="00260A39" w:rsidTr="00260A39">
        <w:trPr>
          <w:trHeight w:val="237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浙紫珠</w:t>
            </w:r>
            <w:proofErr w:type="gramEnd"/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【来源】本品为马鞭草科</w:t>
            </w: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植物华紫</w:t>
            </w:r>
            <w:proofErr w:type="gram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珠</w:t>
            </w:r>
            <w:proofErr w:type="spell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Callicarpa</w:t>
            </w:r>
            <w:proofErr w:type="spell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cathayana</w:t>
            </w:r>
            <w:proofErr w:type="spell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H.T.Chang</w:t>
            </w:r>
            <w:proofErr w:type="spell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或裸花紫珠</w:t>
            </w:r>
            <w:proofErr w:type="spell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Callicarpa</w:t>
            </w:r>
            <w:proofErr w:type="spell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nudiflora</w:t>
            </w:r>
            <w:proofErr w:type="spell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Hook. Et </w:t>
            </w:r>
            <w:proofErr w:type="spell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Arn</w:t>
            </w:r>
            <w:proofErr w:type="spell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. 的干燥叶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kern w:val="0"/>
                <w:sz w:val="22"/>
              </w:rPr>
              <w:t>【来源】本品为马鞭草科</w:t>
            </w:r>
            <w:proofErr w:type="gramStart"/>
            <w:r w:rsidRPr="00260A39">
              <w:rPr>
                <w:rFonts w:ascii="等线" w:eastAsia="等线" w:hAnsi="等线" w:cs="宋体" w:hint="eastAsia"/>
                <w:kern w:val="0"/>
                <w:sz w:val="22"/>
              </w:rPr>
              <w:t>植物华紫</w:t>
            </w:r>
            <w:proofErr w:type="gramEnd"/>
            <w:r w:rsidRPr="00260A39">
              <w:rPr>
                <w:rFonts w:ascii="等线" w:eastAsia="等线" w:hAnsi="等线" w:cs="宋体" w:hint="eastAsia"/>
                <w:kern w:val="0"/>
                <w:sz w:val="22"/>
              </w:rPr>
              <w:t>珠</w:t>
            </w:r>
            <w:proofErr w:type="spellStart"/>
            <w:r w:rsidRPr="00260A39">
              <w:rPr>
                <w:rFonts w:ascii="等线" w:eastAsia="等线" w:hAnsi="等线" w:cs="宋体" w:hint="eastAsia"/>
                <w:kern w:val="0"/>
                <w:sz w:val="22"/>
              </w:rPr>
              <w:t>Callicarpa</w:t>
            </w:r>
            <w:proofErr w:type="spellEnd"/>
            <w:r w:rsidRPr="00260A39">
              <w:rPr>
                <w:rFonts w:ascii="等线" w:eastAsia="等线" w:hAnsi="等线" w:cs="宋体" w:hint="eastAsia"/>
                <w:kern w:val="0"/>
                <w:sz w:val="22"/>
              </w:rPr>
              <w:t xml:space="preserve"> </w:t>
            </w:r>
            <w:proofErr w:type="spellStart"/>
            <w:r w:rsidRPr="00260A39">
              <w:rPr>
                <w:rFonts w:ascii="等线" w:eastAsia="等线" w:hAnsi="等线" w:cs="宋体" w:hint="eastAsia"/>
                <w:kern w:val="0"/>
                <w:sz w:val="22"/>
              </w:rPr>
              <w:t>cathayana</w:t>
            </w:r>
            <w:proofErr w:type="spellEnd"/>
            <w:r w:rsidRPr="00260A39">
              <w:rPr>
                <w:rFonts w:ascii="等线" w:eastAsia="等线" w:hAnsi="等线" w:cs="宋体" w:hint="eastAsia"/>
                <w:kern w:val="0"/>
                <w:sz w:val="22"/>
              </w:rPr>
              <w:t xml:space="preserve"> </w:t>
            </w:r>
            <w:proofErr w:type="spellStart"/>
            <w:r w:rsidRPr="00260A39">
              <w:rPr>
                <w:rFonts w:ascii="等线" w:eastAsia="等线" w:hAnsi="等线" w:cs="宋体" w:hint="eastAsia"/>
                <w:kern w:val="0"/>
                <w:sz w:val="22"/>
              </w:rPr>
              <w:t>H.T.Chang</w:t>
            </w:r>
            <w:proofErr w:type="spellEnd"/>
            <w:r w:rsidRPr="00260A39">
              <w:rPr>
                <w:rFonts w:ascii="等线" w:eastAsia="等线" w:hAnsi="等线" w:cs="宋体" w:hint="eastAsia"/>
                <w:kern w:val="0"/>
                <w:sz w:val="22"/>
              </w:rPr>
              <w:t>的干燥叶</w:t>
            </w:r>
            <w:r>
              <w:rPr>
                <w:rFonts w:ascii="等线" w:eastAsia="等线" w:hAnsi="等线" w:cs="宋体" w:hint="eastAsia"/>
                <w:kern w:val="0"/>
                <w:sz w:val="22"/>
              </w:rPr>
              <w:t>。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药典2015年版增补本收载裸花紫珠，炮</w:t>
            </w: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规</w:t>
            </w:r>
            <w:proofErr w:type="gram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不能重复收载，需删除与药典相同的品种。</w:t>
            </w:r>
          </w:p>
        </w:tc>
      </w:tr>
      <w:tr w:rsidR="00B55338" w:rsidRPr="00260A39" w:rsidTr="00260A39">
        <w:trPr>
          <w:trHeight w:val="57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B73F9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贡沉香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贡沉香粉….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删除贡沉香粉饮片。【用法与用量】增加用时</w:t>
            </w: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成细粉。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贡沉香粉质量不易控制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B55338" w:rsidRPr="00260A39" w:rsidTr="00260A39">
        <w:trPr>
          <w:trHeight w:val="28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苏木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【炮制】….或捣成粗末。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删除“或捣成粗末”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药典有</w:t>
            </w: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成粗粉的炮制方法</w:t>
            </w:r>
          </w:p>
        </w:tc>
      </w:tr>
      <w:tr w:rsidR="00B55338" w:rsidRPr="00260A39" w:rsidTr="00260A39">
        <w:trPr>
          <w:trHeight w:val="57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B73F9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沉香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沉香粉….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删除沉香粉饮片。【用法与用量】增加用时</w:t>
            </w: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成细粉。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沉香粉质量不易控制</w:t>
            </w:r>
          </w:p>
        </w:tc>
      </w:tr>
      <w:tr w:rsidR="00B55338" w:rsidRPr="00260A39" w:rsidTr="00260A39">
        <w:trPr>
          <w:trHeight w:val="57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檀香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【炮制】….或锯成小条，再捣成粗末。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836E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删除“或锯成小条，捣成粗末”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用法与用量</w:t>
            </w: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】</w:t>
            </w:r>
            <w:proofErr w:type="gram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增加用时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捣成粗末。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檀香粉临床使用少；质量不稳</w:t>
            </w: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定，不易控制。</w:t>
            </w:r>
          </w:p>
        </w:tc>
      </w:tr>
      <w:tr w:rsidR="00B55338" w:rsidRPr="00260A39" w:rsidTr="00260A39">
        <w:trPr>
          <w:trHeight w:val="135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灵芝孢子粉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【检查】铬、镍  …</w:t>
            </w: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取铬单</w:t>
            </w:r>
            <w:proofErr w:type="gram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元素标准溶液，用0.2%硝酸溶液稀释成每1ml中含铬4ng、8ng、16ng与20ng的铬标准溶液。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【检查】铬、镍  …</w:t>
            </w: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取铬单</w:t>
            </w:r>
            <w:proofErr w:type="gram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元素标准溶液，用0.2%硝酸溶液稀释成每1ml中含铬4ng、8ng、12ng、16ng与20ng的铬标准溶液。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标准溶液漏了一个浓度点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B55338" w:rsidRPr="00260A39" w:rsidTr="00260A39">
        <w:trPr>
          <w:trHeight w:val="57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雷丸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雷丸粉【炮制】….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987AB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删除雷丸粉饮片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药典已收载雷丸粉，无需重复收载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B55338" w:rsidRPr="00260A39" w:rsidTr="00260A39">
        <w:trPr>
          <w:trHeight w:val="57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龙血竭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【炮制】</w:t>
            </w: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成粉末，或用时捣碎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删除整个品种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国标已</w:t>
            </w: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收载龙</w:t>
            </w:r>
            <w:proofErr w:type="gram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血竭及龙血竭粉，无需重复收载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B55338" w:rsidRPr="00260A39" w:rsidTr="00260A39">
        <w:trPr>
          <w:trHeight w:val="57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藤黄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生藤黄粉….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802BD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删除生藤黄粉饮片。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生藤黄粉质量不易控制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B55338" w:rsidRPr="00260A39" w:rsidTr="00260A39">
        <w:trPr>
          <w:trHeight w:val="135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马宝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【炮制】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取原药</w:t>
            </w: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….</w:t>
            </w: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成细粉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A969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【</w:t>
            </w: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炮制】</w:t>
            </w:r>
            <w:r w:rsidRPr="002649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取原药，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敲碎</w:t>
            </w:r>
            <w:r w:rsidRPr="002649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马宝粉很少</w:t>
            </w:r>
            <w:proofErr w:type="gram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有临床使用，真伪鉴别较难。</w:t>
            </w:r>
          </w:p>
        </w:tc>
      </w:tr>
      <w:tr w:rsidR="00B55338" w:rsidRPr="00260A39" w:rsidTr="00260A39">
        <w:trPr>
          <w:trHeight w:val="76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瓦楞子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煅</w:t>
            </w:r>
            <w:proofErr w:type="gram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瓦楞子【炮制】取原药，照明煅法..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煅</w:t>
            </w:r>
            <w:proofErr w:type="gram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瓦楞子【炮制】取原药，砸碎，照明煅法…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完整瓦楞子不易煅制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B55338" w:rsidRPr="00260A39" w:rsidTr="00260A39">
        <w:trPr>
          <w:trHeight w:val="76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石决明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煅</w:t>
            </w:r>
            <w:proofErr w:type="gram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石决明（盐）【炮制】取原药，照...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煅</w:t>
            </w:r>
            <w:proofErr w:type="gram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石决明（盐）【炮制】取原药，砸碎，照明煅法...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完整石决明不易煅制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B55338" w:rsidRPr="00260A39" w:rsidTr="00260A39">
        <w:trPr>
          <w:trHeight w:val="114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地龙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酒地龙 【炮制】 取地龙饮片，与酒拌匀，稍闷。照砂烫法烫至表面棕黄色，微鼓起时，取出，筛去沙子，摊凉。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酒地龙 【炮制】 取地龙饮片，与酒拌匀，稍闷。炒至表面棕黄色，微鼓起时，取出，摊凉。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砂烫法炒制地龙，沙子易于粘附于地龙而不易去除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B55338" w:rsidRPr="00260A39" w:rsidTr="00260A39">
        <w:trPr>
          <w:trHeight w:val="85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坎</w:t>
            </w: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炁</w:t>
            </w:r>
            <w:proofErr w:type="gramEnd"/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817C1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拼音</w:t>
            </w:r>
            <w:proofErr w:type="spell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kaiqi</w:t>
            </w:r>
            <w:proofErr w:type="spell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                                     炊</w:t>
            </w: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炁</w:t>
            </w:r>
            <w:proofErr w:type="gram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【炮制】取原药，除去杂质…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87496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拼音</w:t>
            </w:r>
            <w:proofErr w:type="spell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kanqi</w:t>
            </w:r>
            <w:proofErr w:type="spell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                                         坎</w:t>
            </w: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炁</w:t>
            </w:r>
            <w:proofErr w:type="gram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【炮制】取原药，除去杂质…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删除 炊</w:t>
            </w: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炁</w:t>
            </w:r>
            <w:proofErr w:type="gram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粉饮片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拼音和名称有误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，</w:t>
            </w: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坎</w:t>
            </w: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炁</w:t>
            </w:r>
            <w:proofErr w:type="gram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粉质量不易控制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B55338" w:rsidRPr="00260A39" w:rsidTr="00260A39">
        <w:trPr>
          <w:trHeight w:val="57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狗宝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【炮制】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取原药</w:t>
            </w: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…</w:t>
            </w: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成细粉。</w:t>
            </w:r>
          </w:p>
          <w:p w:rsidR="00B55338" w:rsidRPr="00260A39" w:rsidRDefault="00B55338" w:rsidP="00AA78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【性状】</w:t>
            </w:r>
            <w:r w:rsidRPr="00AA7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炮制品为粒度均匀、灰白色的粉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A15A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【</w:t>
            </w: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炮制】</w:t>
            </w:r>
            <w:r w:rsidRPr="00E3716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取原药，刷净，敲破，除去中心异物。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【性状】删去“</w:t>
            </w:r>
            <w:r w:rsidRPr="00AA78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炮制品为粒度均匀、灰白色的粉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”。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狗宝粉很少有临床使用，真伪鉴别较难。</w:t>
            </w:r>
          </w:p>
        </w:tc>
      </w:tr>
      <w:tr w:rsidR="00B55338" w:rsidRPr="00260A39" w:rsidTr="00260A39">
        <w:trPr>
          <w:trHeight w:val="57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狗鞭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狗鞭粉….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DE45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删除狗鞭粉饮片。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狗鞭粉质量不易控制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B55338" w:rsidRPr="00260A39" w:rsidTr="00260A39">
        <w:trPr>
          <w:trHeight w:val="57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珍珠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【炮制】珍珠粉…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删除整个品种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药典已收载珍珠及珍珠粉，无需重复收载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B55338" w:rsidRPr="00260A39" w:rsidTr="00260A39">
        <w:trPr>
          <w:trHeight w:val="57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珊瑚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【炮制】…水飞成极细粉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013F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删除【炮制】及【性状】项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【用法与用量】增加临用时研细粉。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珊瑚粉很少有临床使用，真伪鉴别较难。</w:t>
            </w:r>
          </w:p>
        </w:tc>
      </w:tr>
      <w:tr w:rsidR="00B55338" w:rsidRPr="00260A39" w:rsidTr="00260A39">
        <w:trPr>
          <w:trHeight w:val="118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海狗肾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海狗肾粉….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A256E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删除</w:t>
            </w: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海狗肾粉饮片</w:t>
            </w:r>
            <w:proofErr w:type="gram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海狗肾粉质量</w:t>
            </w:r>
            <w:proofErr w:type="gram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不易控制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B55338" w:rsidRPr="00260A39" w:rsidTr="00260A39">
        <w:trPr>
          <w:trHeight w:val="57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鹿角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粉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鹿角粉【炮制】…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3226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删除鹿角粉饮片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药典已收载鹿角粉，无需重复收载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B55338" w:rsidRPr="00260A39" w:rsidTr="00260A39">
        <w:trPr>
          <w:trHeight w:val="57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鹿鞭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鹿鞭粉….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3C5A3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删除鹿鞭粉饮片。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鹿鞭粉质量不易控制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B55338" w:rsidRPr="00260A39" w:rsidTr="00260A39">
        <w:trPr>
          <w:trHeight w:val="57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羚羊角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羚羊角粉【炮制】….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删除羚羊角粉饮片，保留羚羊角片规格，其他不变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药典已收载羚羊角粉，无需重复收载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B55338" w:rsidRPr="00260A39" w:rsidTr="00260A39">
        <w:trPr>
          <w:trHeight w:val="57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黑蚂蚁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黑蚂蚁粉….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5299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删除黑蚂蚁粉饮片。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黑蚂蚁粉质量不易控制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B55338" w:rsidRPr="00260A39" w:rsidTr="00260A39">
        <w:trPr>
          <w:trHeight w:val="57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雄黄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421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【炮制】雄黄粉…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删除整个品种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药典已收载雄黄及雄黄粉，无需重复收载</w:t>
            </w:r>
          </w:p>
        </w:tc>
      </w:tr>
      <w:tr w:rsidR="00B55338" w:rsidRPr="00260A39" w:rsidTr="00260A39">
        <w:trPr>
          <w:trHeight w:val="57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滑石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423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滑石粉（浙）….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510D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删除滑石粉（浙）饮片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药典已收载滑石粉，工艺相似，无需重复收载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B55338" w:rsidRPr="00260A39" w:rsidTr="00260A39">
        <w:trPr>
          <w:trHeight w:val="399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六一粉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429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DF640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【炮制】取甘草100克粉碎成粗粉，与滑石粉600克混匀，即得，      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【含量测定】…对照品溶液的制备  取本品约1.5ｇ，紧密称定，精密加入流动相25ml，称定重量，超声处理（功率250W，频率33kHz）30分钟，放冷，再称定重量，用流动相补足减少的重量，摇匀，滤过，</w:t>
            </w: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取续滤液</w:t>
            </w:r>
            <w:proofErr w:type="gram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，即得。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【炮制】取甘草100克和块滑石600克，分别粉碎成粗粉，混匀，即得。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     </w:t>
            </w: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【含量测定】…对照品溶液的制备 取甘草酸铵对照品适量，精密称定，加流动相制成每lm l含甘草酸铵0. 2mg的溶液，即得(甘草酸重量=甘草酸铵重量/1.0207)。</w:t>
            </w: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 xml:space="preserve">     </w:t>
            </w: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供试品溶液</w:t>
            </w:r>
            <w:proofErr w:type="gram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的制备    取本品约1.5ｇ，精密称定，精密加入流动相25ml，称定重量，超声处理（功率250W，频率33kHz）30分钟，放冷，再称定重量，用流动相补足减少的重量，摇匀，滤过，</w:t>
            </w: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</w: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取续滤液</w:t>
            </w:r>
            <w:proofErr w:type="gram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，即得。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专家组讨论，采用滑石粉作原料不符合本地实际，应以块滑石加工的粗粉投料。   误将</w:t>
            </w: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供试品溶液</w:t>
            </w:r>
            <w:proofErr w:type="gram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制备法列到对照品溶液的制备项下，缺对照品制备方法。</w:t>
            </w:r>
          </w:p>
        </w:tc>
      </w:tr>
      <w:tr w:rsidR="00B55338" w:rsidRPr="00260A39" w:rsidTr="00260A39">
        <w:trPr>
          <w:trHeight w:val="135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六神曲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430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60A39">
              <w:rPr>
                <w:rFonts w:ascii="宋体" w:eastAsia="宋体" w:hAnsi="宋体" w:cs="宋体" w:hint="eastAsia"/>
                <w:kern w:val="0"/>
                <w:sz w:val="22"/>
              </w:rPr>
              <w:t>品名六神曲【鉴别】表面焦褐色，断面</w:t>
            </w:r>
            <w:proofErr w:type="gramStart"/>
            <w:r w:rsidRPr="00260A39">
              <w:rPr>
                <w:rFonts w:ascii="宋体" w:eastAsia="宋体" w:hAnsi="宋体" w:cs="宋体" w:hint="eastAsia"/>
                <w:kern w:val="0"/>
                <w:sz w:val="22"/>
              </w:rPr>
              <w:t>棕</w:t>
            </w:r>
            <w:proofErr w:type="gramEnd"/>
            <w:r w:rsidRPr="00260A39">
              <w:rPr>
                <w:rFonts w:ascii="宋体" w:eastAsia="宋体" w:hAnsi="宋体" w:cs="宋体" w:hint="eastAsia"/>
                <w:kern w:val="0"/>
                <w:sz w:val="22"/>
              </w:rPr>
              <w:t xml:space="preserve">褐色。气焦香。                              </w:t>
            </w:r>
            <w:proofErr w:type="gramStart"/>
            <w:r w:rsidRPr="00260A39">
              <w:rPr>
                <w:rFonts w:ascii="宋体" w:eastAsia="宋体" w:hAnsi="宋体" w:cs="宋体" w:hint="eastAsia"/>
                <w:kern w:val="0"/>
                <w:sz w:val="22"/>
              </w:rPr>
              <w:t>【处方应付】写六神曲</w:t>
            </w:r>
            <w:proofErr w:type="gramEnd"/>
            <w:r w:rsidRPr="00260A39">
              <w:rPr>
                <w:rFonts w:ascii="宋体" w:eastAsia="宋体" w:hAnsi="宋体" w:cs="宋体" w:hint="eastAsia"/>
                <w:kern w:val="0"/>
                <w:sz w:val="22"/>
              </w:rPr>
              <w:t>、神曲、焦六神曲均付焦六神曲；写生六神曲、神曲</w:t>
            </w:r>
            <w:proofErr w:type="gramStart"/>
            <w:r w:rsidRPr="00260A39">
              <w:rPr>
                <w:rFonts w:ascii="宋体" w:eastAsia="宋体" w:hAnsi="宋体" w:cs="宋体" w:hint="eastAsia"/>
                <w:kern w:val="0"/>
                <w:sz w:val="22"/>
              </w:rPr>
              <w:t>均付六神曲</w:t>
            </w:r>
            <w:proofErr w:type="gramEnd"/>
            <w:r w:rsidRPr="00260A39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60A39">
              <w:rPr>
                <w:rFonts w:ascii="宋体" w:eastAsia="宋体" w:hAnsi="宋体" w:cs="宋体" w:hint="eastAsia"/>
                <w:kern w:val="0"/>
                <w:sz w:val="22"/>
              </w:rPr>
              <w:t>品名浙六神曲</w:t>
            </w:r>
            <w:proofErr w:type="gramEnd"/>
            <w:r w:rsidRPr="00260A39">
              <w:rPr>
                <w:rFonts w:ascii="宋体" w:eastAsia="宋体" w:hAnsi="宋体" w:cs="宋体" w:hint="eastAsia"/>
                <w:kern w:val="0"/>
                <w:sz w:val="22"/>
              </w:rPr>
              <w:t xml:space="preserve">【鉴别】表面焦褐色，断面棕黄色至棕褐色。气焦香。                  </w:t>
            </w:r>
            <w:proofErr w:type="gramStart"/>
            <w:r w:rsidRPr="00260A39">
              <w:rPr>
                <w:rFonts w:ascii="宋体" w:eastAsia="宋体" w:hAnsi="宋体" w:cs="宋体" w:hint="eastAsia"/>
                <w:kern w:val="0"/>
                <w:sz w:val="22"/>
              </w:rPr>
              <w:t>【处方应付】写六神曲</w:t>
            </w:r>
            <w:proofErr w:type="gramEnd"/>
            <w:r w:rsidRPr="00260A39">
              <w:rPr>
                <w:rFonts w:ascii="宋体" w:eastAsia="宋体" w:hAnsi="宋体" w:cs="宋体" w:hint="eastAsia"/>
                <w:kern w:val="0"/>
                <w:sz w:val="22"/>
              </w:rPr>
              <w:t>、神曲、焦六神曲均付焦六神曲。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部颁标准已有六神曲，不能重名，需改名。色泽描述范围应放宽。实际无</w:t>
            </w: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生品六</w:t>
            </w:r>
            <w:proofErr w:type="gram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神曲；写神曲应付焦六神曲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B55338" w:rsidRPr="00260A39" w:rsidTr="00260A39">
        <w:trPr>
          <w:trHeight w:val="57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434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建曲</w:t>
            </w: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【炮制】取广藿香</w:t>
            </w:r>
            <w:proofErr w:type="gram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6kg，…苍耳子6.6kg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建曲</w:t>
            </w: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【炮制】取广藿香</w:t>
            </w:r>
            <w:proofErr w:type="gram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6kg，…苍耳草6.6kg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建曲炮制中使用苍耳草</w:t>
            </w:r>
          </w:p>
        </w:tc>
      </w:tr>
      <w:tr w:rsidR="00B55338" w:rsidRPr="00260A39" w:rsidTr="00260A39">
        <w:trPr>
          <w:trHeight w:val="67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淡豆豉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435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淡豆豉【炮制】取黑大豆，…蒸4~6小时，..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淡豆豉【炮制】取黑大豆，…蒸透，...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不需要蒸4-6小时，</w:t>
            </w: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蒸透适可</w:t>
            </w:r>
            <w:proofErr w:type="gram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即行。</w:t>
            </w:r>
          </w:p>
        </w:tc>
      </w:tr>
      <w:tr w:rsidR="00B55338" w:rsidRPr="00260A39" w:rsidTr="00260A39">
        <w:trPr>
          <w:trHeight w:val="57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附录13页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附录13页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处方应付缺少紫</w:t>
            </w: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萁</w:t>
            </w:r>
            <w:proofErr w:type="gram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贯众和</w:t>
            </w:r>
            <w:proofErr w:type="gramStart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绵</w:t>
            </w:r>
            <w:proofErr w:type="gramEnd"/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马贯众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kern w:val="0"/>
                <w:sz w:val="22"/>
              </w:rPr>
              <w:t>增紫</w:t>
            </w:r>
            <w:proofErr w:type="gramStart"/>
            <w:r w:rsidRPr="00260A39">
              <w:rPr>
                <w:rFonts w:ascii="等线" w:eastAsia="等线" w:hAnsi="等线" w:cs="宋体" w:hint="eastAsia"/>
                <w:kern w:val="0"/>
                <w:sz w:val="22"/>
              </w:rPr>
              <w:t>萁</w:t>
            </w:r>
            <w:proofErr w:type="gramEnd"/>
            <w:r w:rsidRPr="00260A39">
              <w:rPr>
                <w:rFonts w:ascii="等线" w:eastAsia="等线" w:hAnsi="等线" w:cs="宋体" w:hint="eastAsia"/>
                <w:kern w:val="0"/>
                <w:sz w:val="22"/>
              </w:rPr>
              <w:t>贯众，写贯众可付紫</w:t>
            </w:r>
            <w:proofErr w:type="gramStart"/>
            <w:r w:rsidRPr="00260A39">
              <w:rPr>
                <w:rFonts w:ascii="等线" w:eastAsia="等线" w:hAnsi="等线" w:cs="宋体" w:hint="eastAsia"/>
                <w:kern w:val="0"/>
                <w:sz w:val="22"/>
              </w:rPr>
              <w:t>萁</w:t>
            </w:r>
            <w:proofErr w:type="gramEnd"/>
            <w:r w:rsidRPr="00260A39">
              <w:rPr>
                <w:rFonts w:ascii="等线" w:eastAsia="等线" w:hAnsi="等线" w:cs="宋体" w:hint="eastAsia"/>
                <w:kern w:val="0"/>
                <w:sz w:val="22"/>
              </w:rPr>
              <w:t>贯众。                                                      增</w:t>
            </w:r>
            <w:proofErr w:type="gramStart"/>
            <w:r w:rsidRPr="00260A39">
              <w:rPr>
                <w:rFonts w:ascii="等线" w:eastAsia="等线" w:hAnsi="等线" w:cs="宋体" w:hint="eastAsia"/>
                <w:kern w:val="0"/>
                <w:sz w:val="22"/>
              </w:rPr>
              <w:t>绵</w:t>
            </w:r>
            <w:proofErr w:type="gramEnd"/>
            <w:r w:rsidRPr="00260A39">
              <w:rPr>
                <w:rFonts w:ascii="等线" w:eastAsia="等线" w:hAnsi="等线" w:cs="宋体" w:hint="eastAsia"/>
                <w:kern w:val="0"/>
                <w:sz w:val="22"/>
              </w:rPr>
              <w:t>马贯众，写贯众可付绵马贯众。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38" w:rsidRPr="00260A39" w:rsidRDefault="00B55338" w:rsidP="00260A3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60A3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药典品种，作为贯众使用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</w:tr>
    </w:tbl>
    <w:p w:rsidR="00260A39" w:rsidRPr="00260A39" w:rsidRDefault="00260A39" w:rsidP="00260A39"/>
    <w:sectPr w:rsidR="00260A39" w:rsidRPr="00260A39" w:rsidSect="00260A39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C27" w:rsidRDefault="00F30C27" w:rsidP="0087496B">
      <w:r>
        <w:separator/>
      </w:r>
    </w:p>
  </w:endnote>
  <w:endnote w:type="continuationSeparator" w:id="0">
    <w:p w:rsidR="00F30C27" w:rsidRDefault="00F30C27" w:rsidP="0087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SJ-PK74820000003-Identity-H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-SS9-PK7482000000d-Identity-H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239135"/>
      <w:docPartObj>
        <w:docPartGallery w:val="Page Numbers (Bottom of Page)"/>
        <w:docPartUnique/>
      </w:docPartObj>
    </w:sdtPr>
    <w:sdtEndPr/>
    <w:sdtContent>
      <w:p w:rsidR="00177313" w:rsidRDefault="0017731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76E" w:rsidRPr="0082376E">
          <w:rPr>
            <w:noProof/>
            <w:lang w:val="zh-CN"/>
          </w:rPr>
          <w:t>1</w:t>
        </w:r>
        <w:r>
          <w:fldChar w:fldCharType="end"/>
        </w:r>
      </w:p>
    </w:sdtContent>
  </w:sdt>
  <w:p w:rsidR="00177313" w:rsidRDefault="001773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C27" w:rsidRDefault="00F30C27" w:rsidP="0087496B">
      <w:r>
        <w:separator/>
      </w:r>
    </w:p>
  </w:footnote>
  <w:footnote w:type="continuationSeparator" w:id="0">
    <w:p w:rsidR="00F30C27" w:rsidRDefault="00F30C27" w:rsidP="00874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39"/>
    <w:rsid w:val="00013F13"/>
    <w:rsid w:val="00044675"/>
    <w:rsid w:val="00057818"/>
    <w:rsid w:val="000B338F"/>
    <w:rsid w:val="000B7331"/>
    <w:rsid w:val="00122D85"/>
    <w:rsid w:val="00127BCB"/>
    <w:rsid w:val="00177313"/>
    <w:rsid w:val="00195D7F"/>
    <w:rsid w:val="001A0913"/>
    <w:rsid w:val="001B24DC"/>
    <w:rsid w:val="001B3148"/>
    <w:rsid w:val="001B3652"/>
    <w:rsid w:val="001E2A1A"/>
    <w:rsid w:val="001F14EB"/>
    <w:rsid w:val="0025299F"/>
    <w:rsid w:val="00260A39"/>
    <w:rsid w:val="002649E8"/>
    <w:rsid w:val="002A15A0"/>
    <w:rsid w:val="003226E2"/>
    <w:rsid w:val="003251DE"/>
    <w:rsid w:val="00330313"/>
    <w:rsid w:val="00366026"/>
    <w:rsid w:val="003B54A9"/>
    <w:rsid w:val="003C5A3A"/>
    <w:rsid w:val="00411DD6"/>
    <w:rsid w:val="00446FE1"/>
    <w:rsid w:val="00483B73"/>
    <w:rsid w:val="00503EAB"/>
    <w:rsid w:val="00510D4D"/>
    <w:rsid w:val="00530849"/>
    <w:rsid w:val="005563DD"/>
    <w:rsid w:val="0057634A"/>
    <w:rsid w:val="00601CCE"/>
    <w:rsid w:val="006139A1"/>
    <w:rsid w:val="006956EE"/>
    <w:rsid w:val="00702ABE"/>
    <w:rsid w:val="007206FF"/>
    <w:rsid w:val="007207EE"/>
    <w:rsid w:val="007E3500"/>
    <w:rsid w:val="007F2F61"/>
    <w:rsid w:val="00802BD9"/>
    <w:rsid w:val="00817C1D"/>
    <w:rsid w:val="0082376E"/>
    <w:rsid w:val="00832F41"/>
    <w:rsid w:val="00834E99"/>
    <w:rsid w:val="00836E78"/>
    <w:rsid w:val="0087496B"/>
    <w:rsid w:val="008B3C9C"/>
    <w:rsid w:val="008C6B9B"/>
    <w:rsid w:val="008F536F"/>
    <w:rsid w:val="00913DDA"/>
    <w:rsid w:val="00927C7B"/>
    <w:rsid w:val="00970220"/>
    <w:rsid w:val="00981AC6"/>
    <w:rsid w:val="00987AB8"/>
    <w:rsid w:val="009A1861"/>
    <w:rsid w:val="009C7DC2"/>
    <w:rsid w:val="009D5682"/>
    <w:rsid w:val="00A256EE"/>
    <w:rsid w:val="00A47B4D"/>
    <w:rsid w:val="00A969D5"/>
    <w:rsid w:val="00AA78E4"/>
    <w:rsid w:val="00AB4A02"/>
    <w:rsid w:val="00AE1336"/>
    <w:rsid w:val="00B55338"/>
    <w:rsid w:val="00B73F9D"/>
    <w:rsid w:val="00BA6BF3"/>
    <w:rsid w:val="00C02B32"/>
    <w:rsid w:val="00C07745"/>
    <w:rsid w:val="00C137BD"/>
    <w:rsid w:val="00C84E40"/>
    <w:rsid w:val="00CB1B28"/>
    <w:rsid w:val="00CB1DBA"/>
    <w:rsid w:val="00CC2F44"/>
    <w:rsid w:val="00CD7B69"/>
    <w:rsid w:val="00CF32FB"/>
    <w:rsid w:val="00D42E36"/>
    <w:rsid w:val="00D61C94"/>
    <w:rsid w:val="00DE456C"/>
    <w:rsid w:val="00DF6401"/>
    <w:rsid w:val="00E0788C"/>
    <w:rsid w:val="00E334D3"/>
    <w:rsid w:val="00E3716A"/>
    <w:rsid w:val="00E945BF"/>
    <w:rsid w:val="00E9648A"/>
    <w:rsid w:val="00EB0A8E"/>
    <w:rsid w:val="00EF1723"/>
    <w:rsid w:val="00F20BEA"/>
    <w:rsid w:val="00F30C27"/>
    <w:rsid w:val="00F748E5"/>
    <w:rsid w:val="00F86B4E"/>
    <w:rsid w:val="00FA750E"/>
    <w:rsid w:val="00FC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9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4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496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945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945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9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4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496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945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945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807</Words>
  <Characters>4601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管理员</dc:creator>
  <cp:lastModifiedBy>管理员</cp:lastModifiedBy>
  <cp:revision>25</cp:revision>
  <cp:lastPrinted>2019-09-03T02:33:00Z</cp:lastPrinted>
  <dcterms:created xsi:type="dcterms:W3CDTF">2019-09-03T02:25:00Z</dcterms:created>
  <dcterms:modified xsi:type="dcterms:W3CDTF">2019-09-03T10:00:00Z</dcterms:modified>
</cp:coreProperties>
</file>